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6"/>
        <w:ind w:left="0" w:right="1" w:firstLine="0"/>
        <w:spacing w:before="0" w:beforeAutospacing="0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  <w:t xml:space="preserve">                                                                                              №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906"/>
        <w:ind w:left="0" w:right="1" w:firstLine="0"/>
        <w:spacing w:before="0" w:beforeAutospacing="0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906"/>
        <w:ind w:left="0" w:right="1" w:firstLine="0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 предоставлении дополнительной меры</w:t>
      </w:r>
      <w:r>
        <w:rPr>
          <w:rFonts w:ascii="PT Astra Serif" w:hAnsi="PT Astra Serif" w:eastAsia="PT Astra Serif" w:cs="PT Astra Serif"/>
          <w:spacing w:val="1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социальной</w:t>
      </w:r>
      <w:r>
        <w:rPr>
          <w:rFonts w:ascii="PT Astra Serif" w:hAnsi="PT Astra Serif" w:eastAsia="PT Astra Serif" w:cs="PT Astra Serif"/>
          <w:spacing w:val="1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поддержки</w:t>
      </w:r>
      <w:r>
        <w:rPr>
          <w:rFonts w:ascii="PT Astra Serif" w:hAnsi="PT Astra Serif" w:eastAsia="PT Astra Serif" w:cs="PT Astra Serif"/>
          <w:spacing w:val="1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участникам</w:t>
      </w:r>
      <w:r>
        <w:rPr>
          <w:rFonts w:ascii="PT Astra Serif" w:hAnsi="PT Astra Serif" w:eastAsia="PT Astra Serif" w:cs="PT Astra Serif"/>
          <w:spacing w:val="1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специальной</w:t>
      </w:r>
      <w:r>
        <w:rPr>
          <w:rFonts w:ascii="PT Astra Serif" w:hAnsi="PT Astra Serif" w:eastAsia="PT Astra Serif" w:cs="PT Astra Serif"/>
          <w:spacing w:val="49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военной</w:t>
      </w:r>
      <w:r>
        <w:rPr>
          <w:rFonts w:ascii="PT Astra Serif" w:hAnsi="PT Astra Serif" w:eastAsia="PT Astra Serif" w:cs="PT Astra Serif"/>
          <w:spacing w:val="31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операции,</w:t>
      </w:r>
      <w:r>
        <w:rPr>
          <w:rFonts w:ascii="PT Astra Serif" w:hAnsi="PT Astra Serif" w:eastAsia="PT Astra Serif" w:cs="PT Astra Serif"/>
          <w:spacing w:val="3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проживающим</w:t>
      </w:r>
      <w:r>
        <w:rPr>
          <w:rFonts w:ascii="PT Astra Serif" w:hAnsi="PT Astra Serif" w:eastAsia="PT Astra Serif" w:cs="PT Astra Serif"/>
          <w:spacing w:val="52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</w:t>
      </w:r>
      <w:r>
        <w:rPr>
          <w:rFonts w:ascii="PT Astra Serif" w:hAnsi="PT Astra Serif" w:eastAsia="PT Astra Serif" w:cs="PT Astra Serif"/>
          <w:spacing w:val="23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территории</w:t>
      </w:r>
      <w:r>
        <w:rPr>
          <w:rFonts w:ascii="PT Astra Serif" w:hAnsi="PT Astra Serif" w:eastAsia="PT Astra Serif" w:cs="PT Astra Serif"/>
          <w:spacing w:val="34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Томской</w:t>
      </w:r>
      <w:r>
        <w:rPr>
          <w:rFonts w:ascii="PT Astra Serif" w:hAnsi="PT Astra Serif" w:eastAsia="PT Astra Serif" w:cs="PT Astra Serif"/>
          <w:spacing w:val="3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области</w:t>
      </w:r>
      <w:r>
        <w:rPr>
          <w:rFonts w:ascii="PT Astra Serif" w:hAnsi="PT Astra Serif" w:eastAsia="PT Astra Serif" w:cs="PT Astra Serif"/>
          <w:spacing w:val="-64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</w:t>
      </w:r>
      <w:r>
        <w:rPr>
          <w:rFonts w:ascii="PT Astra Serif" w:hAnsi="PT Astra Serif" w:eastAsia="PT Astra Serif" w:cs="PT Astra Serif"/>
          <w:spacing w:val="4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жилых</w:t>
      </w:r>
      <w:r>
        <w:rPr>
          <w:rFonts w:ascii="PT Astra Serif" w:hAnsi="PT Astra Serif" w:eastAsia="PT Astra Serif" w:cs="PT Astra Serif"/>
          <w:spacing w:val="21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помещениях,</w:t>
      </w:r>
      <w:r>
        <w:rPr>
          <w:rFonts w:ascii="PT Astra Serif" w:hAnsi="PT Astra Serif" w:eastAsia="PT Astra Serif" w:cs="PT Astra Serif"/>
          <w:spacing w:val="28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не</w:t>
      </w:r>
      <w:r>
        <w:rPr>
          <w:rFonts w:ascii="PT Astra Serif" w:hAnsi="PT Astra Serif" w:eastAsia="PT Astra Serif" w:cs="PT Astra Serif"/>
          <w:spacing w:val="2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имеющих</w:t>
      </w:r>
      <w:r>
        <w:rPr>
          <w:rFonts w:ascii="PT Astra Serif" w:hAnsi="PT Astra Serif" w:eastAsia="PT Astra Serif" w:cs="PT Astra Serif"/>
          <w:spacing w:val="31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центрального</w:t>
      </w:r>
      <w:r>
        <w:rPr>
          <w:rFonts w:ascii="PT Astra Serif" w:hAnsi="PT Astra Serif" w:eastAsia="PT Astra Serif" w:cs="PT Astra Serif"/>
          <w:spacing w:val="26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отопления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897"/>
        <w:ind w:right="4677" w:firstLine="0"/>
        <w:jc w:val="both"/>
        <w:spacing w:before="0" w:beforeAutospacing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97"/>
        <w:ind w:right="4677" w:firstLine="0"/>
        <w:jc w:val="both"/>
        <w:spacing w:before="0" w:beforeAutospacing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ind w:left="0" w:right="0" w:firstLine="567"/>
        <w:jc w:val="both"/>
        <w:spacing w:before="0" w:beforeAutospacing="0"/>
        <w:tabs>
          <w:tab w:val="left" w:pos="850" w:leader="none"/>
          <w:tab w:val="left" w:pos="7088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соответствии с частью 3 статьи 48 Федерального закона № 414-ФЗ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«Об общих принципах организации публичной власти в субъектах Российской Федерации», в целях предоставления дополнительной меры социальной поддержки участникам специальной военной операции, проживающим на территории Томской области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left="0" w:right="0" w:firstLine="567"/>
        <w:jc w:val="both"/>
        <w:spacing w:before="0" w:beforeAutospacing="0"/>
        <w:tabs>
          <w:tab w:val="left" w:pos="850" w:leader="none"/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ind w:left="0" w:right="0" w:firstLine="567"/>
        <w:spacing w:before="0" w:beforeAutospacing="0"/>
        <w:tabs>
          <w:tab w:val="left" w:pos="850" w:leader="none"/>
          <w:tab w:val="left" w:pos="7088" w:leader="none"/>
        </w:tabs>
        <w:rPr>
          <w:rFonts w:ascii="PT Astra Serif" w:hAnsi="PT Astra Serif" w:cs="PT Astra Serif"/>
          <w:spacing w:val="10"/>
          <w:sz w:val="28"/>
          <w:szCs w:val="28"/>
        </w:rPr>
      </w:pPr>
      <w:r>
        <w:rPr>
          <w:rFonts w:ascii="PT Astra Serif" w:hAnsi="PT Astra Serif" w:eastAsia="PT Astra Serif" w:cs="PT Astra Serif"/>
          <w:spacing w:val="10"/>
          <w:sz w:val="28"/>
          <w:szCs w:val="28"/>
        </w:rPr>
        <w:t xml:space="preserve">ПОСТАНОВЛЯЮ:</w:t>
      </w:r>
      <w:r>
        <w:rPr>
          <w:rFonts w:ascii="PT Astra Serif" w:hAnsi="PT Astra Serif" w:cs="PT Astra Serif"/>
          <w:spacing w:val="10"/>
          <w:sz w:val="28"/>
          <w:szCs w:val="28"/>
        </w:rPr>
      </w:r>
      <w:r>
        <w:rPr>
          <w:rFonts w:ascii="PT Astra Serif" w:hAnsi="PT Astra Serif" w:cs="PT Astra Serif"/>
          <w:spacing w:val="10"/>
          <w:sz w:val="28"/>
          <w:szCs w:val="28"/>
        </w:rPr>
      </w:r>
    </w:p>
    <w:p>
      <w:pPr>
        <w:pStyle w:val="897"/>
        <w:numPr>
          <w:ilvl w:val="0"/>
          <w:numId w:val="1"/>
        </w:numPr>
        <w:ind w:left="0" w:right="0" w:firstLine="567"/>
        <w:jc w:val="both"/>
        <w:spacing w:before="0" w:beforeAutospacing="0"/>
        <w:tabs>
          <w:tab w:val="left" w:pos="850" w:leader="none"/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Установить, что участникам специальной военной операции, проживающим на территории Томской области в жилых помещениях, не имеющих центрального отопления, предоставляется дополнительная мера социальной поддержки в виде единовременной компенсации расходов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 приобретение и доставку твердого топлива в размере 15 000 рублей.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numPr>
          <w:ilvl w:val="0"/>
          <w:numId w:val="1"/>
        </w:numPr>
        <w:ind w:left="0" w:right="0" w:firstLine="567"/>
        <w:jc w:val="both"/>
        <w:spacing w:before="0" w:beforeAutospacing="0"/>
        <w:tabs>
          <w:tab w:val="left" w:pos="850" w:leader="none"/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У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твердить Порядок предоставления единовременной компенсации расходов на приобретение и доставку твердого топлива участникам специальной военной операции, проживающим на территории Томской области в жилых помещениях, не имеющих центрального отопления, соглас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но приложению к настоящему постановлению.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</w:p>
    <w:p>
      <w:pPr>
        <w:numPr>
          <w:ilvl w:val="0"/>
          <w:numId w:val="1"/>
        </w:numPr>
        <w:ind w:left="0" w:right="0" w:firstLine="709"/>
        <w:jc w:val="both"/>
        <w:spacing w:before="0" w:beforeAutospacing="0"/>
        <w:tabs>
          <w:tab w:val="left" w:pos="992" w:leader="none"/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пределить, что дополнительная мера социальной поддержки, установленная настоящим постановлением, предоставляется подведомственными Департаменту социальной защиты населения Томской области областным государственным казенным учреждением «Центр социальной под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держки населения по оплате жилого помещения и коммунальных услуг» (в отношении граждан, проживающих в муниципальном образовании «Город Томск») и областными государственными казенными учреждениями - центрами социальной поддержки населения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муниципальных округов,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городских округов и муниципальных районов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Томской области (в отношении граждан, проживающих в муниципальных образованиях Томской области) (далее -уполномоченное учреждение).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numPr>
          <w:ilvl w:val="0"/>
          <w:numId w:val="1"/>
        </w:numPr>
        <w:ind w:left="0" w:right="0" w:firstLine="709"/>
        <w:jc w:val="both"/>
        <w:spacing w:before="0" w:beforeAutospacing="0"/>
        <w:tabs>
          <w:tab w:val="left" w:pos="992" w:leader="none"/>
          <w:tab w:val="left" w:pos="7088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Выплата дополнительной меры социальной поддержки, установленной настоящим постановлением, осуществляется областным государственным казенным учреждением «Информационно-технический центр Томской области».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numPr>
          <w:ilvl w:val="0"/>
          <w:numId w:val="1"/>
        </w:numPr>
        <w:ind w:left="0" w:right="0" w:firstLine="709"/>
        <w:jc w:val="both"/>
        <w:spacing w:before="0" w:beforeAutospacing="0"/>
        <w:tabs>
          <w:tab w:val="left" w:pos="992" w:leader="none"/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Финансовое обеспечение дополнительной меры социальной поддержки, установленной в пункте 1 настоящего постановления, осуществляется за счет средств областного бюджета.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numPr>
          <w:ilvl w:val="0"/>
          <w:numId w:val="1"/>
        </w:numPr>
        <w:ind w:left="0" w:right="0" w:firstLine="709"/>
        <w:jc w:val="both"/>
        <w:spacing w:before="0" w:beforeAutospacing="0"/>
        <w:tabs>
          <w:tab w:val="left" w:pos="992" w:leader="none"/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Департаменту социальной защиты населения Томской области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обеспечить разъяснение настоящего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постановления в средствах массовой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информации в течение тридцати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дней после дня его официального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опубликования.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numPr>
          <w:ilvl w:val="0"/>
          <w:numId w:val="1"/>
        </w:numPr>
        <w:ind w:left="0" w:right="0" w:firstLine="709"/>
        <w:jc w:val="both"/>
        <w:spacing w:before="0" w:beforeAutospacing="0"/>
        <w:tabs>
          <w:tab w:val="left" w:pos="992" w:leader="none"/>
          <w:tab w:val="left" w:pos="7088" w:leader="none"/>
        </w:tabs>
        <w:rPr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Настоящее постановление вступает в силу с 1 января 2026 года.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numPr>
          <w:ilvl w:val="0"/>
          <w:numId w:val="1"/>
        </w:numPr>
        <w:ind w:left="0" w:right="0" w:firstLine="709"/>
        <w:jc w:val="both"/>
        <w:spacing w:before="0" w:beforeAutospacing="0"/>
        <w:tabs>
          <w:tab w:val="left" w:pos="992" w:leader="none"/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Контроль за исполнением настоящего постановления возложить на заместителя Губернатора Томской области по социальной политике.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ind w:firstLine="0"/>
        <w:spacing w:before="0" w:beforeAutospacing="0"/>
        <w:tabs>
          <w:tab w:val="left" w:pos="7655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Губернатор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Томской области                  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В.В. Мазур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7"/>
        <w:spacing w:before="0" w:beforeAutospacing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before="0" w:beforeAutospacing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897"/>
        <w:ind w:firstLine="0"/>
        <w:spacing w:before="0" w:beforeAutospacing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Киняйкина М.А. </w:t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</w:p>
    <w:p>
      <w:pPr>
        <w:shd w:val="nil" w:color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highlight w:val="none"/>
          <w:lang w:eastAsia="ru-RU"/>
        </w:rPr>
        <w:br w:type="page" w:clear="all"/>
      </w:r>
      <w:r>
        <w:rPr>
          <w:rFonts w:ascii="PT Astra Serif" w:hAnsi="PT Astra Serif" w:cs="PT Astra Serif"/>
          <w:sz w:val="28"/>
          <w:szCs w:val="28"/>
          <w:highlight w:val="none"/>
          <w:lang w:eastAsia="ru-RU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5669" w:right="0" w:hanging="2"/>
        <w:jc w:val="both"/>
        <w:spacing w:after="0" w:line="240" w:lineRule="auto"/>
        <w:rPr>
          <w:rFonts w:ascii="PT Astra Serif" w:hAnsi="PT Astra Serif" w:cs="PT Astra Serif"/>
          <w:sz w:val="28"/>
          <w:szCs w:val="28"/>
          <w:highlight w:val="none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Приложение </w:t>
      </w:r>
      <w:r>
        <w:rPr>
          <w:rFonts w:ascii="PT Astra Serif" w:hAnsi="PT Astra Serif" w:cs="PT Astra Serif"/>
          <w:sz w:val="28"/>
          <w:szCs w:val="28"/>
          <w:lang w:eastAsia="ru-RU"/>
        </w:rPr>
      </w:r>
      <w:r>
        <w:rPr>
          <w:rFonts w:ascii="PT Astra Serif" w:hAnsi="PT Astra Serif" w:cs="PT Astra Serif"/>
          <w:sz w:val="28"/>
          <w:szCs w:val="28"/>
          <w:highlight w:val="none"/>
          <w:lang w:eastAsia="ru-RU"/>
        </w:rPr>
      </w:r>
    </w:p>
    <w:p>
      <w:pPr>
        <w:ind w:left="5669" w:right="0" w:hanging="2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к постановлени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ю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Администрации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left="5669" w:right="0" w:hanging="2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________________ № __________</w:t>
      </w:r>
      <w:r>
        <w:rPr>
          <w:rFonts w:ascii="PT Astra Serif" w:hAnsi="PT Astra Serif" w:cs="PT Astra Serif"/>
          <w:sz w:val="28"/>
          <w:szCs w:val="28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0"/>
        <w:jc w:val="center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firstLine="0"/>
        <w:jc w:val="center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firstLine="0"/>
        <w:jc w:val="center"/>
        <w:spacing w:before="0" w:beforeAutospacing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Порядок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firstLine="0"/>
        <w:jc w:val="center"/>
        <w:spacing w:before="0" w:beforeAutospacing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предоставления единовременной компенсации расходов на приобретение и доставку твердого топлива участникам специальной военной операции,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firstLine="0"/>
        <w:jc w:val="center"/>
        <w:spacing w:before="0" w:beforeAutospacing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проживающим на территории Томской области в жилых помещениях, не имеющих центрального отопления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firstLine="0"/>
        <w:jc w:val="center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firstLine="0"/>
        <w:jc w:val="center"/>
        <w:spacing w:before="0" w:beforeAutospacing="0"/>
        <w:tabs>
          <w:tab w:val="left" w:pos="1559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left="142" w:right="0" w:firstLine="709"/>
        <w:jc w:val="both"/>
        <w:spacing w:before="0" w:beforeAutospacing="0"/>
        <w:tabs>
          <w:tab w:val="left" w:pos="1559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1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</w:t>
        <w:tab/>
        <w:t xml:space="preserve">Настоящий Порядок определяет процедуру предоставления дополнительной меры социальной поддержки в виде единовременной компенсации расходов на приобретение и доставку твердого топлива в размере 15 000 рублей (далее - единовременная компенсация) участникам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специальной военной операции, проживающим на территории Томской области в жилых помещениях, не имеющих центрального отопления (далее - граждане).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142" w:right="0" w:firstLine="709"/>
        <w:jc w:val="both"/>
        <w:spacing w:before="0" w:beforeAutospacing="0"/>
        <w:tabs>
          <w:tab w:val="left" w:pos="1559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2.</w:t>
        <w:tab/>
        <w:t xml:space="preserve">Единовременная компенсация предоставляется гражданам однократно в течение календарного года на одно жилое помещение, являющееся местом жительства или местом пребывания гражданина, по выбору гражданина.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142" w:right="0" w:firstLine="709"/>
        <w:jc w:val="both"/>
        <w:spacing w:before="0" w:beforeAutospacing="0"/>
        <w:tabs>
          <w:tab w:val="left" w:pos="1559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3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</w:t>
        <w:tab/>
        <w:t xml:space="preserve">Гражданам, указанным в пункте 1 настоящего постановления, имеющим право на получение мер социальной поддержки на приобретение и доставку твердого топлива одновременно по нескольким основаниям, названная мера социальной поддержки устанавливается по одному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из оснований, предусматривающему более высокий размер.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142" w:right="0" w:firstLine="709"/>
        <w:jc w:val="both"/>
        <w:spacing w:before="0" w:beforeAutospacing="0"/>
        <w:tabs>
          <w:tab w:val="left" w:pos="1559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4.</w:t>
        <w:tab/>
        <w:t xml:space="preserve">Правом на единовременную компенсацию обладают граждане, указанные в пункте 1 настоящего Порядка, при соблюдении одновременно следующих условий: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142" w:right="0" w:firstLine="709"/>
        <w:jc w:val="both"/>
        <w:spacing w:before="0" w:beforeAutospacing="0"/>
        <w:tabs>
          <w:tab w:val="left" w:pos="1559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а) место жительства (место пребывания) гражданина находится на территории Томской области;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142" w:right="0" w:firstLine="709"/>
        <w:jc w:val="both"/>
        <w:spacing w:before="0" w:beforeAutospacing="0"/>
        <w:tabs>
          <w:tab w:val="left" w:pos="1559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б) жилое помещение, в котором проживает гражданин, не имеет центрального отопления;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142" w:right="0" w:firstLine="709"/>
        <w:jc w:val="both"/>
        <w:spacing w:before="0" w:beforeAutospacing="0"/>
        <w:tabs>
          <w:tab w:val="left" w:pos="1559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в) теплоснабжение жилого помещения, в котором проживает гражданин, осуществляется с использованием печного отопления, индивидуального отопительного котла, работающего на дровах, угле, либо иного вида отопления, использующего твердое топливо.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142" w:right="0" w:firstLine="709"/>
        <w:jc w:val="both"/>
        <w:spacing w:before="0" w:beforeAutospacing="0"/>
        <w:tabs>
          <w:tab w:val="left" w:pos="1559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5.</w:t>
        <w:tab/>
        <w:t xml:space="preserve">Для предоставления единовременной компенсации необходимы следующие документы: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pStyle w:val="737"/>
        <w:numPr>
          <w:ilvl w:val="1"/>
          <w:numId w:val="7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заявление о предоставлении единовременной компенсации по форме согласно приложению к настоящему Порядку (далее - заявление) с указанием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реквизитов счета, открытого в кредитной организации, для перечисления единовременной компенсации;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1"/>
          <w:numId w:val="7"/>
        </w:numPr>
        <w:ind w:left="142" w:right="0" w:firstLine="709"/>
        <w:jc w:val="both"/>
        <w:spacing w:before="0" w:beforeAutospacing="0"/>
        <w:tabs>
          <w:tab w:val="left" w:pos="1417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копия паспорта гражданина Российской Федерации или иного документа, удостоверяющего личность гражданина в соответствии с законодательством Российской Федерации (страниц, содержащих сведения о личности и адресе регистрации по месту жительства или пребыван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ия гражданина);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pStyle w:val="737"/>
        <w:numPr>
          <w:ilvl w:val="1"/>
          <w:numId w:val="7"/>
        </w:numPr>
        <w:ind w:left="142" w:right="0" w:firstLine="709"/>
        <w:jc w:val="both"/>
        <w:spacing w:before="0" w:beforeAutospacing="0"/>
        <w:tabs>
          <w:tab w:val="left" w:pos="1417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копия документа, подтверждающего регистрацию гражданина по месту пребывания (для обратившихся за единовременной компенсацией по месту пребывания);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pStyle w:val="737"/>
        <w:numPr>
          <w:ilvl w:val="1"/>
          <w:numId w:val="7"/>
        </w:numPr>
        <w:ind w:left="142" w:right="0" w:firstLine="709"/>
        <w:jc w:val="both"/>
        <w:spacing w:before="0" w:beforeAutospacing="0"/>
        <w:tabs>
          <w:tab w:val="left" w:pos="1417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копии документов, удостоверяющих личность и подтверждающих полномочия представителя гражданина, - для представителя гражданина;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pStyle w:val="737"/>
        <w:numPr>
          <w:ilvl w:val="1"/>
          <w:numId w:val="7"/>
        </w:numPr>
        <w:ind w:left="142" w:right="0" w:firstLine="709"/>
        <w:jc w:val="both"/>
        <w:spacing w:before="0" w:beforeAutospacing="0"/>
        <w:tabs>
          <w:tab w:val="left" w:pos="1417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копия справки об участии гражданина в специальной военной операции, оформленной по месту прохождения службы, при отсутствии соответствующих сведений в органах социальной защиты населения;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pStyle w:val="737"/>
        <w:numPr>
          <w:ilvl w:val="1"/>
          <w:numId w:val="7"/>
        </w:numPr>
        <w:ind w:left="142" w:right="0" w:firstLine="709"/>
        <w:jc w:val="both"/>
        <w:spacing w:before="0" w:beforeAutospacing="0"/>
        <w:tabs>
          <w:tab w:val="left" w:pos="1417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копия документа, подтверждающего отсутствие центрального отопления в жилом помещении по месту жительства (пребывания) гражданина.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Копии документов, предусмотренных пунктом 5 настоящего Порядка, предоставляются с одновременным предоставлением оригиналов документов для сверки.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Документы, предусмотренные пунктом 5 настоящего Порядка, представляются в уполномоченное учреждение гражданином лично или через представителя, а также могут быть направлены в уполномоченное учреждение через подразделения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Областного государственного казенного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учреждения «Томский областной многофункциональный центр по предоставлению государственных и муниципальных услуг»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(МФЦ).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Гражданин (его представитель) вправе представить документы, предусмотренные подпунктами в), д) пункта 5 настоящего Порядка, по собственной инициативе.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В случае непредставления гражданином (его представителем) документов, предусмотренных подпунктами в), д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) пункта 5 настоящего Порядка, уполномоченное учреждение в течение двух рабочих дней со дня регистрации заявления запрашивает указанные документы в пор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ядке межведомственного информационного взаимодействия в органах и (или) организациях, в распоряжении которых они находятся.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Гражданин несет ответственность за неполноту и недостоверность сведений, указанных в заявлении,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в соответствии с законодательством Российской Федерации.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Днем обращения гражданина за предоставлением единовременной компенсации является дата поступления заявления и документов, указанных в пу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нкте 5 настоящего Порядка, в уполномоченное учреждение.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Решение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о предоставлении единовременной компенсации или решение об отказе в предоставлении единовременной компенсации принимается уполномоченным учреждением в срок </w:t>
      </w:r>
      <w:r>
        <w:rPr>
          <w:b w:val="0"/>
          <w:bCs w:val="0"/>
          <w:sz w:val="28"/>
          <w:szCs w:val="28"/>
          <w:highlight w:val="none"/>
        </w:rPr>
        <w:t xml:space="preserve">не позднее </w:t>
      </w:r>
      <w:r>
        <w:rPr>
          <w:b w:val="0"/>
          <w:bCs w:val="0"/>
          <w:sz w:val="28"/>
          <w:szCs w:val="28"/>
          <w:highlight w:val="none"/>
        </w:rPr>
        <w:t xml:space="preserve">десяти </w:t>
      </w:r>
      <w:r>
        <w:rPr>
          <w:b w:val="0"/>
          <w:bCs w:val="0"/>
          <w:sz w:val="28"/>
          <w:szCs w:val="28"/>
          <w:highlight w:val="none"/>
        </w:rPr>
        <w:t xml:space="preserve">рабочих дней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со дня поступления в уполномоченное учреждение заявления и д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окументов, указанных в пункте 5 настоящего Порядка</w:t>
      </w:r>
      <w:r>
        <w:rPr>
          <w:b w:val="0"/>
          <w:bCs w:val="0"/>
          <w:sz w:val="28"/>
          <w:szCs w:val="28"/>
          <w:highlight w:val="none"/>
        </w:rPr>
        <w:t xml:space="preserve">.</w:t>
      </w:r>
      <w:r>
        <w:rPr>
          <w:b w:val="0"/>
          <w:bCs w:val="0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</w:r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Уполномоченное учреждение уведомляет гражданина о принятом решении в течение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пяти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рабочих дней со дня принятия решения способом, указанным гражданином (его представителем) в заявлении.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</w:r>
      <w:r>
        <w:rPr>
          <w:b w:val="0"/>
          <w:bCs w:val="0"/>
        </w:rPr>
      </w:r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Выплата единовременной компенсации осуществляется способом, указанным в заявлении о предоставлении единовременной компенсации,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в месяце, следующем за месяцем принятия решения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о предоставлении единовременной компенсации.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</w:r>
      <w:r>
        <w:rPr>
          <w:b w:val="0"/>
          <w:bCs w:val="0"/>
        </w:rPr>
      </w:r>
    </w:p>
    <w:p>
      <w:pPr>
        <w:pStyle w:val="737"/>
        <w:numPr>
          <w:ilvl w:val="1"/>
          <w:numId w:val="9"/>
        </w:numPr>
        <w:ind w:left="142" w:right="0" w:firstLine="709"/>
        <w:jc w:val="both"/>
        <w:spacing w:before="0" w:beforeAutospacing="0"/>
        <w:tabs>
          <w:tab w:val="left" w:pos="1417" w:leader="none"/>
        </w:tabs>
        <w:rPr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  <w:t xml:space="preserve">Основаниями для отказа в предоставлении единовременной компенсации являются: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</w:r>
      <w:r>
        <w:rPr>
          <w:b w:val="0"/>
          <w:bCs w:val="0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а)</w:t>
        <w:tab/>
        <w:t xml:space="preserve">непредставление документов, предусмотренных пунктом 5 настоящего Порядка;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б)</w:t>
        <w:tab/>
        <w:t xml:space="preserve">представление документов, содержащих неполные и (или) недостоверные сведения, необходимые для принятия решения о предоставлении единовременной компенсации;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в)</w:t>
        <w:tab/>
        <w:t xml:space="preserve">несоответствие гражданина условиям, указанным в пункте 4 настоящего Порядка;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г)</w:t>
        <w:tab/>
        <w:t xml:space="preserve">получение заявителем единовременной компенсации ранее в текущем календарном году.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4819" w:right="0" w:firstLine="0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Приложение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4819" w:right="0" w:firstLine="0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 Порядку предоставления единовременной компенсации расходов на приобретение и доставку твердого топлива участникам специальной военной операции, проживающим на территории Томской области в жилых помещениях, не имеющих центрального отопления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right="0" w:firstLine="850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  <w:t xml:space="preserve">Форма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right="0" w:firstLine="0"/>
        <w:jc w:val="center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Заявление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right="0" w:firstLine="0"/>
        <w:jc w:val="center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o предоставлении единовременной компенсации расходов на приобретение и доставку твердого топлива участникам специальной военной операции, проживающим на территории Томской области в жилых помещениях, не имеющих центрального отопления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tbl>
      <w:tblPr>
        <w:tblStyle w:val="753"/>
        <w:tblW w:w="0" w:type="auto"/>
        <w:tblLayout w:type="fixed"/>
        <w:tblLook w:val="04A0" w:firstRow="1" w:lastRow="0" w:firstColumn="1" w:lastColumn="0" w:noHBand="0" w:noVBand="1"/>
      </w:tblPr>
      <w:tblGrid>
        <w:gridCol w:w="3225"/>
        <w:gridCol w:w="677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25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70" w:type="dxa"/>
            <w:textDirection w:val="lrTb"/>
            <w:noWrap w:val="false"/>
          </w:tcPr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В ОГКУ «Центр социальной поддержки населения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113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____________________________________________ 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/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Фамилия, имя и отчество заявителя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/>
          </w:p>
          <w:p>
            <w:pPr>
              <w:ind w:left="0" w:right="33" w:firstLine="0"/>
              <w:jc w:val="left"/>
              <w:spacing w:before="113" w:beforeAutospacing="0"/>
              <w:tabs>
                <w:tab w:val="left" w:pos="1276" w:leader="none"/>
              </w:tabs>
            </w:pPr>
            <w:r>
              <w:rPr>
                <w:rFonts w:ascii="PT Astra Serif" w:hAnsi="PT Astra Serif" w:eastAsia="PT Astra Serif" w:cs="PT Astra Serif"/>
                <w:i/>
                <w:iCs/>
                <w:sz w:val="28"/>
                <w:szCs w:val="28"/>
                <w:highlight w:val="none"/>
              </w:rPr>
              <w:t xml:space="preserve">(последнее - при наличии)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________________________ __________________________________________________________________________________________________________________________________________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/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/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Дата рождения заявителя (</w:t>
            </w:r>
            <w:r>
              <w:rPr>
                <w:rFonts w:ascii="PT Astra Serif" w:hAnsi="PT Astra Serif" w:eastAsia="PT Astra Serif" w:cs="PT Astra Serif"/>
                <w:i/>
                <w:iCs/>
                <w:sz w:val="28"/>
                <w:szCs w:val="28"/>
                <w:highlight w:val="none"/>
              </w:rPr>
              <w:t xml:space="preserve">число, месяц, </w:t>
            </w:r>
            <w:r>
              <w:rPr>
                <w:rFonts w:ascii="PT Astra Serif" w:hAnsi="PT Astra Serif" w:eastAsia="PT Astra Serif" w:cs="PT Astra Serif"/>
                <w:i/>
                <w:iCs/>
                <w:sz w:val="28"/>
                <w:szCs w:val="28"/>
                <w:highlight w:val="none"/>
              </w:rPr>
              <w:t xml:space="preserve">год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)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113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_____________________________________________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/>
          </w:p>
          <w:p>
            <w:pPr>
              <w:ind w:firstLine="0"/>
              <w:jc w:val="left"/>
              <w:spacing w:before="113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Вид документа, удостоверяющего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личность заявителя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серия и номер _______________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113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кем и когда выдан ______________________________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113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______________________________________________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113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______________________________________________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113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______________________________________________</w:t>
            </w:r>
            <w:r/>
            <w:r/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/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Адрес места жительства (пребывания) заявителя: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/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______________________________________________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  <w:rPr>
                <w:bCs/>
                <w:i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i/>
                <w:iCs/>
                <w:sz w:val="28"/>
                <w:szCs w:val="28"/>
                <w:highlight w:val="none"/>
              </w:rPr>
              <w:t xml:space="preserve">почтовый индекс наименование региона, района,</w:t>
            </w:r>
            <w:r>
              <w:rPr>
                <w:i/>
                <w:iCs/>
                <w:sz w:val="28"/>
                <w:szCs w:val="28"/>
              </w:rPr>
            </w:r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______________________________________________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8"/>
                <w:szCs w:val="28"/>
                <w:highlight w:val="none"/>
              </w:rPr>
              <w:t xml:space="preserve">города, </w:t>
            </w:r>
            <w:r/>
            <w:r>
              <w:rPr>
                <w:bCs/>
                <w:i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8"/>
                <w:szCs w:val="28"/>
                <w:highlight w:val="none"/>
              </w:rPr>
              <w:t xml:space="preserve">иного населенного пункта, улицы,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______________________________________________</w:t>
            </w:r>
            <w:r>
              <w:rPr>
                <w:bCs/>
                <w:i/>
                <w:sz w:val="28"/>
                <w:szCs w:val="28"/>
              </w:rPr>
            </w:r>
          </w:p>
          <w:p>
            <w:pPr>
              <w:ind w:firstLine="0"/>
              <w:jc w:val="left"/>
              <w:spacing w:before="0" w:beforeAutospacing="0"/>
              <w:tabs>
                <w:tab w:val="left" w:pos="1276" w:leader="none"/>
              </w:tabs>
              <w:rPr>
                <w:bCs/>
                <w:i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8"/>
                <w:szCs w:val="28"/>
                <w:highlight w:val="none"/>
              </w:rPr>
              <w:t xml:space="preserve">номер дома, корпус, квартира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  <w:t xml:space="preserve">) </w:t>
            </w:r>
            <w:r>
              <w:rPr>
                <w:bCs/>
                <w:i/>
                <w:sz w:val="28"/>
                <w:szCs w:val="28"/>
              </w:rPr>
            </w:r>
            <w:r/>
          </w:p>
        </w:tc>
      </w:tr>
    </w:tbl>
    <w:p>
      <w:pPr>
        <w:ind w:left="0" w:right="0" w:firstLine="709"/>
        <w:jc w:val="both"/>
        <w:spacing w:before="0" w:beforeAutospacing="0"/>
        <w:tabs>
          <w:tab w:val="left" w:pos="1134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  <w:t xml:space="preserve">1.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Прошу предоставить единовременную компенсацию расходов на приобретение и доставку твердого топлива участникам специальной военной операции, проживающим на территории Томской области в жилых помещениях, не имеющих центрального отопления (далее - единоврем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енную компенсацию) в соответствии с постановлением Администрации Томской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области от «___» ________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2025 г. № __________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«О предоставлении дополнительной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меры социальной поддержки участникам специальной военной операции, проживающим на территории Томской области в жилых помещениях, не имеющих центрального отопления».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Единовременную компенсацию прошу перечислить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(</w:t>
      </w:r>
      <w:r>
        <w:rPr>
          <w:rFonts w:ascii="PT Astra Serif" w:hAnsi="PT Astra Serif" w:eastAsia="PT Astra Serif" w:cs="PT Astra Serif"/>
          <w:i/>
          <w:iCs/>
          <w:sz w:val="28"/>
          <w:szCs w:val="28"/>
          <w:highlight w:val="none"/>
        </w:rPr>
        <w:t xml:space="preserve">отметить нужное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)</w:t>
      </w:r>
      <w:r/>
    </w:p>
    <w:p>
      <w:pPr>
        <w:pStyle w:val="737"/>
        <w:numPr>
          <w:ilvl w:val="0"/>
          <w:numId w:val="13"/>
        </w:numPr>
        <w:ind w:left="0" w:right="0" w:firstLine="709"/>
        <w:jc w:val="both"/>
        <w:spacing w:before="0" w:beforeAutospacing="0"/>
        <w:tabs>
          <w:tab w:val="left" w:pos="1134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на счет, открытый на мое имя в кредитной организации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3"/>
        </w:numPr>
        <w:ind w:left="0" w:right="0" w:firstLine="709"/>
        <w:jc w:val="both"/>
        <w:spacing w:before="0" w:beforeAutospacing="0"/>
        <w:tabs>
          <w:tab w:val="left" w:pos="1134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через отделение Федеральной почтовой связи по месту жительства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113" w:beforeAutospacing="0" w:line="240" w:lineRule="auto"/>
        <w:tabs>
          <w:tab w:val="left" w:pos="1134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_____________________________________________________________________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113" w:beforeAutospacing="0" w:line="240" w:lineRule="auto"/>
        <w:tabs>
          <w:tab w:val="left" w:pos="1134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_____________________________________________________________________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</w:tabs>
        <w:rPr>
          <w:bCs/>
          <w:i/>
          <w:sz w:val="24"/>
          <w:szCs w:val="24"/>
        </w:rPr>
      </w:pPr>
      <w:r>
        <w:rPr>
          <w:rFonts w:ascii="PT Astra Serif" w:hAnsi="PT Astra Serif" w:eastAsia="PT Astra Serif" w:cs="PT Astra Serif"/>
          <w:i/>
          <w:iCs/>
          <w:sz w:val="24"/>
          <w:szCs w:val="24"/>
          <w:highlight w:val="none"/>
        </w:rPr>
        <w:t xml:space="preserve">(реквизиты счета в кредитной организации либо </w:t>
      </w:r>
      <w:r>
        <w:rPr>
          <w:rFonts w:ascii="PT Astra Serif" w:hAnsi="PT Astra Serif" w:eastAsia="PT Astra Serif" w:cs="PT Astra Serif"/>
          <w:i/>
          <w:iCs/>
          <w:sz w:val="24"/>
          <w:szCs w:val="24"/>
          <w:highlight w:val="none"/>
        </w:rPr>
        <w:t xml:space="preserve">адрес и номер почтового отделения)</w:t>
      </w:r>
      <w:r>
        <w:rPr>
          <w:rFonts w:ascii="PT Astra Serif" w:hAnsi="PT Astra Serif" w:eastAsia="PT Astra Serif" w:cs="PT Astra Serif"/>
          <w:i/>
          <w:i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i/>
          <w:iCs/>
          <w:sz w:val="24"/>
          <w:szCs w:val="24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  <w:t xml:space="preserve">2.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Полноту и достоверность представленной информации подтверждаю.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Предупрежден(а) об ответственности за предоставление недостоверной и (или) неполной информации в соответствии с действующим законодательством.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right="0" w:firstLine="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tbl>
      <w:tblPr>
        <w:tblStyle w:val="753"/>
        <w:tblW w:w="0" w:type="auto"/>
        <w:tblLayout w:type="fixed"/>
        <w:tblLook w:val="04A0" w:firstRow="1" w:lastRow="0" w:firstColumn="1" w:lastColumn="0" w:noHBand="0" w:noVBand="1"/>
      </w:tblPr>
      <w:tblGrid>
        <w:gridCol w:w="2517"/>
        <w:gridCol w:w="567"/>
        <w:gridCol w:w="2268"/>
        <w:gridCol w:w="709"/>
        <w:gridCol w:w="393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17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34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293"/>
        </w:trPr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17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  <w:t xml:space="preserve">(Дата)</w:t>
            </w:r>
            <w:r>
              <w:rPr>
                <w:i/>
                <w:iCs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  <w:t xml:space="preserve"> Подпись)</w:t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34" w:type="dxa"/>
            <w:textDirection w:val="lrTb"/>
            <w:noWrap w:val="false"/>
          </w:tcPr>
          <w:p>
            <w:pPr>
              <w:ind w:left="0" w:right="0" w:firstLine="0"/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  <w:t xml:space="preserve"> ( Расшифровка подписи)</w:t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</w:p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</w:p>
        </w:tc>
      </w:tr>
    </w:tbl>
    <w:p>
      <w:pPr>
        <w:ind w:left="0" w:right="0" w:firstLine="0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  <w:t xml:space="preserve">3.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В соответствии с настоящим заявлением я: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1)</w:t>
        <w:tab/>
        <w:t xml:space="preserve">даю согласие на осуществление проверок соблюдения порядка, целей и условий предоставления единовременной компенсации;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2)</w:t>
        <w:tab/>
        <w:t xml:space="preserve">обязуюсь не позднее следующего дня сообщать в ОГКУ «Центр социальной поддержки населения ______________________________________», уполномоченное на принятие решения о предоставлении единовременной компенсации, о любом изменении обстоятельств, с которыми связано мое право на предоставление ед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иновременной компенсации, до принятия решения по настоящему заявлению;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3)</w:t>
        <w:tab/>
        <w:t xml:space="preserve">подтверждаю, что ознакомлен с условиями и порядком предоставления единовременной компенсации, а также с обязанностью осуществить возврат полученных денежных средств в связи с предоставлением единовременной компенсации при наличии следующих оснований: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4"/>
        </w:num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утрата права на предоставление единовременной компенсации в период со дня предоставления документов до дня принятия решения о признании права на предоставление единовременной компенсации;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4"/>
        </w:num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нецелевое использование единовременной компенсации;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4"/>
        </w:num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предоставление недостоверных документов;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4"/>
        </w:num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изменение условий проживания (смена места жительства, изменение категории благоустройства жилого помещения);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4)</w:t>
        <w:tab/>
        <w:t xml:space="preserve">обязуюсь использовать единовременную компенсацию только на цели,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предусмотренные пунктом 1 постановления Администрации Томской области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от «___» ________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2025 г. № __________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«О предоставлении дополнительной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меры социальной поддержки участникам специальной военной операции, проживающим на территории Томской области в жилых помещениях, не имеющих центрального отопления»</w:t>
      </w:r>
      <w:r/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  <w:t xml:space="preserve">4.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ab/>
        <w:t xml:space="preserve">Я уведомлен(а) о том, что: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единовременная компенсация мною должна быть возвращена в областной бюджет в течение семи дней со дня получения требования о возврате средств единовременной компенсации;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при невыполнении требования о возврате средств единовременной компенсацию единовременная компенсация будет взыскана в судебном порядке.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Приложения: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5"/>
        </w:numPr>
        <w:ind w:left="0" w:right="0" w:firstLine="709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___________________________________________________________ 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5"/>
        </w:numPr>
        <w:ind w:left="0" w:right="0" w:firstLine="709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___________________________________________________________ 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pStyle w:val="737"/>
        <w:numPr>
          <w:ilvl w:val="0"/>
          <w:numId w:val="15"/>
        </w:numPr>
        <w:ind w:left="0" w:right="0" w:firstLine="709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___________________________________________________________ ;</w:t>
      </w:r>
      <w:r/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5"/>
        </w:numPr>
        <w:ind w:left="0" w:right="0" w:firstLine="709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___________________________________________________________ ;</w:t>
      </w:r>
      <w:r/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5"/>
        </w:numPr>
        <w:ind w:left="0" w:right="0" w:firstLine="709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___________________________________________________________ ;</w:t>
      </w:r>
      <w:r/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37"/>
        <w:numPr>
          <w:ilvl w:val="0"/>
          <w:numId w:val="15"/>
        </w:numPr>
        <w:ind w:left="0" w:right="0" w:firstLine="709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___________________________________________________________ 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right="0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right="0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right="0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tbl>
      <w:tblPr>
        <w:tblStyle w:val="753"/>
        <w:tblW w:w="0" w:type="auto"/>
        <w:tblLayout w:type="fixed"/>
        <w:tblLook w:val="04A0" w:firstRow="1" w:lastRow="0" w:firstColumn="1" w:lastColumn="0" w:noHBand="0" w:noVBand="1"/>
      </w:tblPr>
      <w:tblGrid>
        <w:gridCol w:w="2517"/>
        <w:gridCol w:w="567"/>
        <w:gridCol w:w="2268"/>
        <w:gridCol w:w="709"/>
        <w:gridCol w:w="393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17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34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293"/>
        </w:trPr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17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  <w:t xml:space="preserve">(Дата)</w:t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  <w:t xml:space="preserve"> Подпись)</w:t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textDirection w:val="lrTb"/>
            <w:noWrap w:val="false"/>
          </w:tcPr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34" w:type="dxa"/>
            <w:textDirection w:val="lrTb"/>
            <w:noWrap w:val="false"/>
          </w:tcPr>
          <w:p>
            <w:pPr>
              <w:ind w:left="0" w:right="0" w:firstLine="0"/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  <w:t xml:space="preserve"> ( Расшифровка подписи)</w:t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</w:p>
          <w:p>
            <w:pPr>
              <w:jc w:val="both"/>
              <w:spacing w:before="0" w:beforeAutospacing="0"/>
              <w:tabs>
                <w:tab w:val="left" w:pos="1276" w:leader="none"/>
              </w:tabs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sz w:val="24"/>
                <w:szCs w:val="24"/>
                <w:highlight w:val="none"/>
              </w:rPr>
            </w:r>
          </w:p>
        </w:tc>
      </w:tr>
    </w:tbl>
    <w:p>
      <w:pPr>
        <w:ind w:right="0"/>
        <w:jc w:val="both"/>
        <w:spacing w:before="0" w:beforeAutospacing="0" w:line="360" w:lineRule="auto"/>
        <w:tabs>
          <w:tab w:val="left" w:pos="1276" w:leader="none"/>
        </w:tabs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sectPr>
      <w:headerReference w:type="default" r:id="rId9"/>
      <w:headerReference w:type="first" r:id="rId10"/>
      <w:footnotePr/>
      <w:endnotePr/>
      <w:type w:val="nextPage"/>
      <w:pgSz w:w="11907" w:h="16840" w:orient="portrait"/>
      <w:pgMar w:top="1135" w:right="710" w:bottom="824" w:left="1418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jc w:val="center"/>
    </w:pPr>
    <w:fldSimple w:instr="PAGE \* MERGEFORMAT">
      <w:r>
        <w:t xml:space="preserve">1</w:t>
      </w:r>
    </w:fldSimple>
    <w:r/>
    <w:r/>
  </w:p>
  <w:p>
    <w:pPr>
      <w:pStyle w:val="747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376582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  <w:r>
      <w:rPr>
        <w:rFonts w:ascii="PT Astra Serif" w:hAnsi="PT Astra Serif"/>
        <w:b/>
        <w:lang w:val="en-US"/>
      </w:rPr>
    </w:r>
  </w:p>
  <w:p>
    <w:pPr>
      <w:pStyle w:val="902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администрация ТОМСКОЙ ОБЛАСТИ</w:t>
    </w:r>
    <w:r>
      <w:rPr>
        <w:rFonts w:ascii="PT Astra Serif" w:hAnsi="PT Astra Serif"/>
        <w:sz w:val="30"/>
        <w:szCs w:val="30"/>
      </w:rPr>
    </w:r>
    <w:r>
      <w:rPr>
        <w:rFonts w:ascii="PT Astra Serif" w:hAnsi="PT Astra Serif"/>
        <w:sz w:val="30"/>
        <w:szCs w:val="30"/>
      </w:rPr>
    </w:r>
  </w:p>
  <w:p>
    <w:pPr>
      <w:pStyle w:val="902"/>
      <w:ind w:firstLine="0"/>
      <w:spacing w:before="240" w:after="0"/>
      <w:rPr>
        <w:rFonts w:ascii="PT Astra Serif" w:hAnsi="PT Astra Serif"/>
        <w:spacing w:val="20"/>
        <w:highlight w:val="none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highlight w:val="none"/>
      </w:rPr>
    </w:r>
    <w:r>
      <w:rPr>
        <w:rFonts w:ascii="PT Astra Serif" w:hAnsi="PT Astra Serif"/>
        <w:spacing w:val="20"/>
        <w:highlight w:val="none"/>
      </w:rPr>
    </w:r>
  </w:p>
  <w:p>
    <w:pPr>
      <w:pStyle w:val="902"/>
      <w:ind w:firstLine="0"/>
      <w:spacing w:before="240" w:after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  <w:szCs w:val="28"/>
        <w:highlight w:val="none"/>
      </w:rPr>
    </w:r>
    <w:r>
      <w:rPr>
        <w:rFonts w:ascii="PT Astra Serif" w:hAnsi="PT Astra Serif"/>
        <w:spacing w:val="20"/>
      </w:rPr>
    </w:r>
    <w:r>
      <w:rPr>
        <w:rFonts w:ascii="PT Astra Serif" w:hAnsi="PT Astra Serif"/>
        <w:spacing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4" w:hanging="43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z w:val="27"/>
        <w:szCs w:val="27"/>
      </w:rPr>
    </w:lvl>
    <w:lvl w:ilvl="1">
      <w:start w:val="0"/>
      <w:numFmt w:val="bullet"/>
      <w:isLgl w:val="false"/>
      <w:suff w:val="tab"/>
      <w:lvlText w:val="•"/>
      <w:lvlJc w:val="left"/>
      <w:pPr>
        <w:ind w:left="1088" w:hanging="437"/>
      </w:pPr>
      <w:rPr>
        <w:rFonts w:hint="default"/>
      </w:rPr>
    </w:lvl>
    <w:lvl w:ilvl="2">
      <w:start w:val="0"/>
      <w:numFmt w:val="bullet"/>
      <w:isLgl w:val="false"/>
      <w:suff w:val="tab"/>
      <w:lvlText w:val="•"/>
      <w:lvlJc w:val="left"/>
      <w:pPr>
        <w:ind w:left="2076" w:hanging="437"/>
      </w:pPr>
      <w:rPr>
        <w:rFonts w:hint="default"/>
      </w:rPr>
    </w:lvl>
    <w:lvl w:ilvl="3">
      <w:start w:val="0"/>
      <w:numFmt w:val="bullet"/>
      <w:isLgl w:val="false"/>
      <w:suff w:val="tab"/>
      <w:lvlText w:val="•"/>
      <w:lvlJc w:val="left"/>
      <w:pPr>
        <w:ind w:left="3064" w:hanging="437"/>
      </w:pPr>
      <w:rPr>
        <w:rFonts w:hint="default"/>
      </w:rPr>
    </w:lvl>
    <w:lvl w:ilvl="4">
      <w:start w:val="0"/>
      <w:numFmt w:val="bullet"/>
      <w:isLgl w:val="false"/>
      <w:suff w:val="tab"/>
      <w:lvlText w:val="•"/>
      <w:lvlJc w:val="left"/>
      <w:pPr>
        <w:ind w:left="4052" w:hanging="437"/>
      </w:pPr>
      <w:rPr>
        <w:rFonts w:hint="default"/>
      </w:rPr>
    </w:lvl>
    <w:lvl w:ilvl="5">
      <w:start w:val="0"/>
      <w:numFmt w:val="bullet"/>
      <w:isLgl w:val="false"/>
      <w:suff w:val="tab"/>
      <w:lvlText w:val="•"/>
      <w:lvlJc w:val="left"/>
      <w:pPr>
        <w:ind w:left="5040" w:hanging="437"/>
      </w:pPr>
      <w:rPr>
        <w:rFonts w:hint="default"/>
      </w:rPr>
    </w:lvl>
    <w:lvl w:ilvl="6">
      <w:start w:val="0"/>
      <w:numFmt w:val="bullet"/>
      <w:isLgl w:val="false"/>
      <w:suff w:val="tab"/>
      <w:lvlText w:val="•"/>
      <w:lvlJc w:val="left"/>
      <w:pPr>
        <w:ind w:left="6028" w:hanging="437"/>
      </w:pPr>
      <w:rPr>
        <w:rFonts w:hint="default"/>
      </w:rPr>
    </w:lvl>
    <w:lvl w:ilvl="7">
      <w:start w:val="0"/>
      <w:numFmt w:val="bullet"/>
      <w:isLgl w:val="false"/>
      <w:suff w:val="tab"/>
      <w:lvlText w:val="•"/>
      <w:lvlJc w:val="left"/>
      <w:pPr>
        <w:ind w:left="7016" w:hanging="437"/>
      </w:pPr>
      <w:rPr>
        <w:rFonts w:hint="default"/>
      </w:rPr>
    </w:lvl>
    <w:lvl w:ilvl="8">
      <w:start w:val="0"/>
      <w:numFmt w:val="bullet"/>
      <w:isLgl w:val="false"/>
      <w:suff w:val="tab"/>
      <w:lvlText w:val="•"/>
      <w:lvlJc w:val="left"/>
      <w:pPr>
        <w:ind w:left="8004" w:hanging="437"/>
      </w:pPr>
      <w:rPr>
        <w:rFonts w:hint="default"/>
      </w:r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7" w:hanging="43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z w:val="27"/>
        <w:szCs w:val="27"/>
      </w:rPr>
    </w:lvl>
    <w:lvl w:ilvl="1">
      <w:start w:val="0"/>
      <w:numFmt w:val="bullet"/>
      <w:isLgl w:val="false"/>
      <w:suff w:val="tab"/>
      <w:lvlText w:val="•"/>
      <w:lvlJc w:val="left"/>
      <w:pPr>
        <w:ind w:left="1088" w:hanging="437"/>
      </w:pPr>
      <w:rPr>
        <w:rFonts w:hint="default"/>
      </w:rPr>
    </w:lvl>
    <w:lvl w:ilvl="2">
      <w:start w:val="0"/>
      <w:numFmt w:val="bullet"/>
      <w:isLgl w:val="false"/>
      <w:suff w:val="tab"/>
      <w:lvlText w:val="•"/>
      <w:lvlJc w:val="left"/>
      <w:pPr>
        <w:ind w:left="2076" w:hanging="437"/>
      </w:pPr>
      <w:rPr>
        <w:rFonts w:hint="default"/>
      </w:rPr>
    </w:lvl>
    <w:lvl w:ilvl="3">
      <w:start w:val="0"/>
      <w:numFmt w:val="bullet"/>
      <w:isLgl w:val="false"/>
      <w:suff w:val="tab"/>
      <w:lvlText w:val="•"/>
      <w:lvlJc w:val="left"/>
      <w:pPr>
        <w:ind w:left="3064" w:hanging="437"/>
      </w:pPr>
      <w:rPr>
        <w:rFonts w:hint="default"/>
      </w:rPr>
    </w:lvl>
    <w:lvl w:ilvl="4">
      <w:start w:val="0"/>
      <w:numFmt w:val="bullet"/>
      <w:isLgl w:val="false"/>
      <w:suff w:val="tab"/>
      <w:lvlText w:val="•"/>
      <w:lvlJc w:val="left"/>
      <w:pPr>
        <w:ind w:left="4052" w:hanging="437"/>
      </w:pPr>
      <w:rPr>
        <w:rFonts w:hint="default"/>
      </w:rPr>
    </w:lvl>
    <w:lvl w:ilvl="5">
      <w:start w:val="0"/>
      <w:numFmt w:val="bullet"/>
      <w:isLgl w:val="false"/>
      <w:suff w:val="tab"/>
      <w:lvlText w:val="•"/>
      <w:lvlJc w:val="left"/>
      <w:pPr>
        <w:ind w:left="5040" w:hanging="437"/>
      </w:pPr>
      <w:rPr>
        <w:rFonts w:hint="default"/>
      </w:rPr>
    </w:lvl>
    <w:lvl w:ilvl="6">
      <w:start w:val="0"/>
      <w:numFmt w:val="bullet"/>
      <w:isLgl w:val="false"/>
      <w:suff w:val="tab"/>
      <w:lvlText w:val="•"/>
      <w:lvlJc w:val="left"/>
      <w:pPr>
        <w:ind w:left="6028" w:hanging="437"/>
      </w:pPr>
      <w:rPr>
        <w:rFonts w:hint="default"/>
      </w:rPr>
    </w:lvl>
    <w:lvl w:ilvl="7">
      <w:start w:val="0"/>
      <w:numFmt w:val="bullet"/>
      <w:isLgl w:val="false"/>
      <w:suff w:val="tab"/>
      <w:lvlText w:val="•"/>
      <w:lvlJc w:val="left"/>
      <w:pPr>
        <w:ind w:left="7016" w:hanging="437"/>
      </w:pPr>
      <w:rPr>
        <w:rFonts w:hint="default"/>
      </w:rPr>
    </w:lvl>
    <w:lvl w:ilvl="8">
      <w:start w:val="0"/>
      <w:numFmt w:val="bullet"/>
      <w:isLgl w:val="false"/>
      <w:suff w:val="tab"/>
      <w:lvlText w:val="•"/>
      <w:lvlJc w:val="left"/>
      <w:pPr>
        <w:ind w:left="8004" w:hanging="437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russianLow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russianLower"/>
      <w:isLgl w:val="false"/>
      <w:suff w:val="tab"/>
      <w:lvlText w:val="%2)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6"/>
      <w:numFmt w:val="decimal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09" w:hanging="43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z w:val="27"/>
        <w:szCs w:val="27"/>
      </w:rPr>
    </w:lvl>
    <w:lvl w:ilvl="1">
      <w:start w:val="0"/>
      <w:numFmt w:val="bullet"/>
      <w:isLgl w:val="false"/>
      <w:suff w:val="tab"/>
      <w:lvlText w:val="•"/>
      <w:lvlJc w:val="left"/>
      <w:pPr>
        <w:ind w:left="1058" w:hanging="432"/>
      </w:pPr>
      <w:rPr>
        <w:rFonts w:hint="default"/>
      </w:rPr>
    </w:lvl>
    <w:lvl w:ilvl="2">
      <w:start w:val="0"/>
      <w:numFmt w:val="bullet"/>
      <w:isLgl w:val="false"/>
      <w:suff w:val="tab"/>
      <w:lvlText w:val="•"/>
      <w:lvlJc w:val="left"/>
      <w:pPr>
        <w:ind w:left="2016" w:hanging="432"/>
      </w:pPr>
      <w:rPr>
        <w:rFonts w:hint="default"/>
      </w:rPr>
    </w:lvl>
    <w:lvl w:ilvl="3">
      <w:start w:val="0"/>
      <w:numFmt w:val="bullet"/>
      <w:isLgl w:val="false"/>
      <w:suff w:val="tab"/>
      <w:lvlText w:val="•"/>
      <w:lvlJc w:val="left"/>
      <w:pPr>
        <w:ind w:left="2974" w:hanging="432"/>
      </w:pPr>
      <w:rPr>
        <w:rFonts w:hint="default"/>
      </w:rPr>
    </w:lvl>
    <w:lvl w:ilvl="4">
      <w:start w:val="0"/>
      <w:numFmt w:val="bullet"/>
      <w:isLgl w:val="false"/>
      <w:suff w:val="tab"/>
      <w:lvlText w:val="•"/>
      <w:lvlJc w:val="left"/>
      <w:pPr>
        <w:ind w:left="3932" w:hanging="432"/>
      </w:pPr>
      <w:rPr>
        <w:rFonts w:hint="default"/>
      </w:rPr>
    </w:lvl>
    <w:lvl w:ilvl="5">
      <w:start w:val="0"/>
      <w:numFmt w:val="bullet"/>
      <w:isLgl w:val="false"/>
      <w:suff w:val="tab"/>
      <w:lvlText w:val="•"/>
      <w:lvlJc w:val="left"/>
      <w:pPr>
        <w:ind w:left="4890" w:hanging="432"/>
      </w:pPr>
      <w:rPr>
        <w:rFonts w:hint="default"/>
      </w:rPr>
    </w:lvl>
    <w:lvl w:ilvl="6">
      <w:start w:val="0"/>
      <w:numFmt w:val="bullet"/>
      <w:isLgl w:val="false"/>
      <w:suff w:val="tab"/>
      <w:lvlText w:val="•"/>
      <w:lvlJc w:val="left"/>
      <w:pPr>
        <w:ind w:left="5848" w:hanging="432"/>
      </w:pPr>
      <w:rPr>
        <w:rFonts w:hint="default"/>
      </w:rPr>
    </w:lvl>
    <w:lvl w:ilvl="7">
      <w:start w:val="0"/>
      <w:numFmt w:val="bullet"/>
      <w:isLgl w:val="false"/>
      <w:suff w:val="tab"/>
      <w:lvlText w:val="•"/>
      <w:lvlJc w:val="left"/>
      <w:pPr>
        <w:ind w:left="6806" w:hanging="432"/>
      </w:pPr>
      <w:rPr>
        <w:rFonts w:hint="default"/>
      </w:rPr>
    </w:lvl>
    <w:lvl w:ilvl="8">
      <w:start w:val="0"/>
      <w:numFmt w:val="bullet"/>
      <w:isLgl w:val="false"/>
      <w:suff w:val="tab"/>
      <w:lvlText w:val="•"/>
      <w:lvlJc w:val="left"/>
      <w:pPr>
        <w:ind w:left="7764" w:hanging="432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russianLower"/>
      <w:isLgl w:val="false"/>
      <w:suff w:val="tab"/>
      <w:lvlText w:val="%2)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o"/>
      <w:lvlJc w:val="left"/>
      <w:pPr>
        <w:ind w:left="720" w:hanging="360"/>
      </w:pPr>
      <w:rPr>
        <w:rFonts w:ascii="Courier New" w:hAnsi="Courier New" w:eastAsia="Courier New" w:cs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6"/>
      <w:numFmt w:val="decimal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6"/>
      <w:numFmt w:val="decimal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6"/>
      <w:numFmt w:val="decimal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>
    <w:name w:val="Heading 1"/>
    <w:basedOn w:val="897"/>
    <w:next w:val="897"/>
    <w:link w:val="7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0">
    <w:name w:val="Heading 1 Char"/>
    <w:link w:val="719"/>
    <w:uiPriority w:val="9"/>
    <w:rPr>
      <w:rFonts w:ascii="Arial" w:hAnsi="Arial" w:eastAsia="Arial" w:cs="Arial"/>
      <w:sz w:val="40"/>
      <w:szCs w:val="40"/>
    </w:rPr>
  </w:style>
  <w:style w:type="paragraph" w:styleId="721">
    <w:name w:val="Heading 2"/>
    <w:basedOn w:val="897"/>
    <w:next w:val="897"/>
    <w:link w:val="72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2">
    <w:name w:val="Heading 2 Char"/>
    <w:link w:val="721"/>
    <w:uiPriority w:val="9"/>
    <w:rPr>
      <w:rFonts w:ascii="Arial" w:hAnsi="Arial" w:eastAsia="Arial" w:cs="Arial"/>
      <w:sz w:val="34"/>
    </w:rPr>
  </w:style>
  <w:style w:type="paragraph" w:styleId="723">
    <w:name w:val="Heading 3"/>
    <w:basedOn w:val="897"/>
    <w:next w:val="897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4">
    <w:name w:val="Heading 3 Char"/>
    <w:link w:val="723"/>
    <w:uiPriority w:val="9"/>
    <w:rPr>
      <w:rFonts w:ascii="Arial" w:hAnsi="Arial" w:eastAsia="Arial" w:cs="Arial"/>
      <w:sz w:val="30"/>
      <w:szCs w:val="30"/>
    </w:rPr>
  </w:style>
  <w:style w:type="paragraph" w:styleId="725">
    <w:name w:val="Heading 4"/>
    <w:basedOn w:val="897"/>
    <w:next w:val="897"/>
    <w:link w:val="72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6">
    <w:name w:val="Heading 4 Char"/>
    <w:link w:val="725"/>
    <w:uiPriority w:val="9"/>
    <w:rPr>
      <w:rFonts w:ascii="Arial" w:hAnsi="Arial" w:eastAsia="Arial" w:cs="Arial"/>
      <w:b/>
      <w:bCs/>
      <w:sz w:val="26"/>
      <w:szCs w:val="26"/>
    </w:rPr>
  </w:style>
  <w:style w:type="paragraph" w:styleId="727">
    <w:name w:val="Heading 5"/>
    <w:basedOn w:val="897"/>
    <w:next w:val="897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8">
    <w:name w:val="Heading 5 Char"/>
    <w:link w:val="727"/>
    <w:uiPriority w:val="9"/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897"/>
    <w:next w:val="897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0">
    <w:name w:val="Heading 6 Char"/>
    <w:link w:val="729"/>
    <w:uiPriority w:val="9"/>
    <w:rPr>
      <w:rFonts w:ascii="Arial" w:hAnsi="Arial" w:eastAsia="Arial" w:cs="Arial"/>
      <w:b/>
      <w:bCs/>
      <w:sz w:val="22"/>
      <w:szCs w:val="22"/>
    </w:rPr>
  </w:style>
  <w:style w:type="paragraph" w:styleId="731">
    <w:name w:val="Heading 7"/>
    <w:basedOn w:val="897"/>
    <w:next w:val="897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2">
    <w:name w:val="Heading 7 Char"/>
    <w:link w:val="7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3">
    <w:name w:val="Heading 8"/>
    <w:basedOn w:val="897"/>
    <w:next w:val="897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4">
    <w:name w:val="Heading 8 Char"/>
    <w:link w:val="733"/>
    <w:uiPriority w:val="9"/>
    <w:rPr>
      <w:rFonts w:ascii="Arial" w:hAnsi="Arial" w:eastAsia="Arial" w:cs="Arial"/>
      <w:i/>
      <w:iCs/>
      <w:sz w:val="22"/>
      <w:szCs w:val="22"/>
    </w:rPr>
  </w:style>
  <w:style w:type="paragraph" w:styleId="735">
    <w:name w:val="Heading 9"/>
    <w:basedOn w:val="897"/>
    <w:next w:val="897"/>
    <w:link w:val="73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6">
    <w:name w:val="Heading 9 Char"/>
    <w:link w:val="735"/>
    <w:uiPriority w:val="9"/>
    <w:rPr>
      <w:rFonts w:ascii="Arial" w:hAnsi="Arial" w:eastAsia="Arial" w:cs="Arial"/>
      <w:i/>
      <w:iCs/>
      <w:sz w:val="21"/>
      <w:szCs w:val="21"/>
    </w:rPr>
  </w:style>
  <w:style w:type="paragraph" w:styleId="737">
    <w:name w:val="List Paragraph"/>
    <w:basedOn w:val="897"/>
    <w:uiPriority w:val="34"/>
    <w:qFormat/>
    <w:pPr>
      <w:contextualSpacing/>
      <w:ind w:left="720"/>
    </w:pPr>
  </w:style>
  <w:style w:type="paragraph" w:styleId="738">
    <w:name w:val="No Spacing"/>
    <w:uiPriority w:val="1"/>
    <w:qFormat/>
    <w:pPr>
      <w:spacing w:before="0" w:after="0" w:line="240" w:lineRule="auto"/>
    </w:pPr>
  </w:style>
  <w:style w:type="paragraph" w:styleId="739">
    <w:name w:val="Title"/>
    <w:basedOn w:val="897"/>
    <w:next w:val="897"/>
    <w:link w:val="7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0">
    <w:name w:val="Title Char"/>
    <w:link w:val="739"/>
    <w:uiPriority w:val="10"/>
    <w:rPr>
      <w:sz w:val="48"/>
      <w:szCs w:val="48"/>
    </w:rPr>
  </w:style>
  <w:style w:type="paragraph" w:styleId="741">
    <w:name w:val="Subtitle"/>
    <w:basedOn w:val="897"/>
    <w:next w:val="897"/>
    <w:link w:val="742"/>
    <w:uiPriority w:val="11"/>
    <w:qFormat/>
    <w:pPr>
      <w:spacing w:before="200" w:after="200"/>
    </w:pPr>
    <w:rPr>
      <w:sz w:val="24"/>
      <w:szCs w:val="24"/>
    </w:rPr>
  </w:style>
  <w:style w:type="character" w:styleId="742">
    <w:name w:val="Subtitle Char"/>
    <w:link w:val="741"/>
    <w:uiPriority w:val="11"/>
    <w:rPr>
      <w:sz w:val="24"/>
      <w:szCs w:val="24"/>
    </w:rPr>
  </w:style>
  <w:style w:type="paragraph" w:styleId="743">
    <w:name w:val="Quote"/>
    <w:basedOn w:val="897"/>
    <w:next w:val="897"/>
    <w:link w:val="744"/>
    <w:uiPriority w:val="29"/>
    <w:qFormat/>
    <w:pPr>
      <w:ind w:left="720" w:right="720"/>
    </w:pPr>
    <w:rPr>
      <w:i/>
    </w:rPr>
  </w:style>
  <w:style w:type="character" w:styleId="744">
    <w:name w:val="Quote Char"/>
    <w:link w:val="743"/>
    <w:uiPriority w:val="29"/>
    <w:rPr>
      <w:i/>
    </w:rPr>
  </w:style>
  <w:style w:type="paragraph" w:styleId="745">
    <w:name w:val="Intense Quote"/>
    <w:basedOn w:val="897"/>
    <w:next w:val="897"/>
    <w:link w:val="74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>
    <w:name w:val="Intense Quote Char"/>
    <w:link w:val="745"/>
    <w:uiPriority w:val="30"/>
    <w:rPr>
      <w:i/>
    </w:rPr>
  </w:style>
  <w:style w:type="paragraph" w:styleId="747">
    <w:name w:val="Header"/>
    <w:basedOn w:val="897"/>
    <w:link w:val="74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>
    <w:name w:val="Header Char"/>
    <w:link w:val="747"/>
    <w:uiPriority w:val="99"/>
  </w:style>
  <w:style w:type="paragraph" w:styleId="749">
    <w:name w:val="Footer"/>
    <w:basedOn w:val="897"/>
    <w:link w:val="75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0">
    <w:name w:val="Footer Char"/>
    <w:link w:val="749"/>
    <w:uiPriority w:val="99"/>
  </w:style>
  <w:style w:type="paragraph" w:styleId="751">
    <w:name w:val="Caption"/>
    <w:basedOn w:val="897"/>
    <w:next w:val="897"/>
    <w:link w:val="75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>
    <w:name w:val="Caption Char"/>
    <w:basedOn w:val="751"/>
    <w:link w:val="749"/>
    <w:uiPriority w:val="99"/>
  </w:style>
  <w:style w:type="table" w:styleId="75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3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5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7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8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5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6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7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8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9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0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7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8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9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0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2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5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6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7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8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9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0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1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2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3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4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5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6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7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8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0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2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3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4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5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7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8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9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0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2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3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4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5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6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7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8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000ff" w:themeColor="hyperlink"/>
      <w:u w:val="single"/>
    </w:rPr>
  </w:style>
  <w:style w:type="paragraph" w:styleId="880">
    <w:name w:val="footnote text"/>
    <w:basedOn w:val="897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>
    <w:name w:val="Footnote Text Char"/>
    <w:link w:val="880"/>
    <w:uiPriority w:val="99"/>
    <w:rPr>
      <w:sz w:val="18"/>
    </w:rPr>
  </w:style>
  <w:style w:type="character" w:styleId="882">
    <w:name w:val="footnote reference"/>
    <w:uiPriority w:val="99"/>
    <w:unhideWhenUsed/>
    <w:rPr>
      <w:vertAlign w:val="superscript"/>
    </w:rPr>
  </w:style>
  <w:style w:type="paragraph" w:styleId="883">
    <w:name w:val="endnote text"/>
    <w:basedOn w:val="897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>
    <w:name w:val="Endnote Text Char"/>
    <w:link w:val="883"/>
    <w:uiPriority w:val="99"/>
    <w:rPr>
      <w:sz w:val="20"/>
    </w:rPr>
  </w:style>
  <w:style w:type="character" w:styleId="885">
    <w:name w:val="endnote reference"/>
    <w:uiPriority w:val="99"/>
    <w:semiHidden/>
    <w:unhideWhenUsed/>
    <w:rPr>
      <w:vertAlign w:val="superscript"/>
    </w:rPr>
  </w:style>
  <w:style w:type="paragraph" w:styleId="886">
    <w:name w:val="toc 1"/>
    <w:basedOn w:val="897"/>
    <w:next w:val="897"/>
    <w:uiPriority w:val="39"/>
    <w:unhideWhenUsed/>
    <w:pPr>
      <w:ind w:left="0" w:right="0" w:firstLine="0"/>
      <w:spacing w:after="57"/>
    </w:pPr>
  </w:style>
  <w:style w:type="paragraph" w:styleId="887">
    <w:name w:val="toc 2"/>
    <w:basedOn w:val="897"/>
    <w:next w:val="897"/>
    <w:uiPriority w:val="39"/>
    <w:unhideWhenUsed/>
    <w:pPr>
      <w:ind w:left="283" w:right="0" w:firstLine="0"/>
      <w:spacing w:after="57"/>
    </w:pPr>
  </w:style>
  <w:style w:type="paragraph" w:styleId="888">
    <w:name w:val="toc 3"/>
    <w:basedOn w:val="897"/>
    <w:next w:val="897"/>
    <w:uiPriority w:val="39"/>
    <w:unhideWhenUsed/>
    <w:pPr>
      <w:ind w:left="567" w:right="0" w:firstLine="0"/>
      <w:spacing w:after="57"/>
    </w:pPr>
  </w:style>
  <w:style w:type="paragraph" w:styleId="889">
    <w:name w:val="toc 4"/>
    <w:basedOn w:val="897"/>
    <w:next w:val="897"/>
    <w:uiPriority w:val="39"/>
    <w:unhideWhenUsed/>
    <w:pPr>
      <w:ind w:left="850" w:right="0" w:firstLine="0"/>
      <w:spacing w:after="57"/>
    </w:pPr>
  </w:style>
  <w:style w:type="paragraph" w:styleId="890">
    <w:name w:val="toc 5"/>
    <w:basedOn w:val="897"/>
    <w:next w:val="897"/>
    <w:uiPriority w:val="39"/>
    <w:unhideWhenUsed/>
    <w:pPr>
      <w:ind w:left="1134" w:right="0" w:firstLine="0"/>
      <w:spacing w:after="57"/>
    </w:pPr>
  </w:style>
  <w:style w:type="paragraph" w:styleId="891">
    <w:name w:val="toc 6"/>
    <w:basedOn w:val="897"/>
    <w:next w:val="897"/>
    <w:uiPriority w:val="39"/>
    <w:unhideWhenUsed/>
    <w:pPr>
      <w:ind w:left="1417" w:right="0" w:firstLine="0"/>
      <w:spacing w:after="57"/>
    </w:pPr>
  </w:style>
  <w:style w:type="paragraph" w:styleId="892">
    <w:name w:val="toc 7"/>
    <w:basedOn w:val="897"/>
    <w:next w:val="897"/>
    <w:uiPriority w:val="39"/>
    <w:unhideWhenUsed/>
    <w:pPr>
      <w:ind w:left="1701" w:right="0" w:firstLine="0"/>
      <w:spacing w:after="57"/>
    </w:pPr>
  </w:style>
  <w:style w:type="paragraph" w:styleId="893">
    <w:name w:val="toc 8"/>
    <w:basedOn w:val="897"/>
    <w:next w:val="897"/>
    <w:uiPriority w:val="39"/>
    <w:unhideWhenUsed/>
    <w:pPr>
      <w:ind w:left="1984" w:right="0" w:firstLine="0"/>
      <w:spacing w:after="57"/>
    </w:pPr>
  </w:style>
  <w:style w:type="paragraph" w:styleId="894">
    <w:name w:val="toc 9"/>
    <w:basedOn w:val="897"/>
    <w:next w:val="897"/>
    <w:uiPriority w:val="39"/>
    <w:unhideWhenUsed/>
    <w:pPr>
      <w:ind w:left="2268" w:right="0" w:firstLine="0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897"/>
    <w:next w:val="897"/>
    <w:uiPriority w:val="99"/>
    <w:unhideWhenUsed/>
    <w:pPr>
      <w:spacing w:after="0" w:afterAutospacing="0"/>
    </w:pPr>
  </w:style>
  <w:style w:type="paragraph" w:styleId="897" w:default="1">
    <w:name w:val="Normal"/>
    <w:next w:val="897"/>
    <w:link w:val="897"/>
    <w:qFormat/>
    <w:pPr>
      <w:ind w:firstLine="709"/>
    </w:pPr>
    <w:rPr>
      <w:sz w:val="26"/>
      <w:lang w:val="ru-RU" w:eastAsia="ru-RU" w:bidi="ar-SA"/>
    </w:rPr>
  </w:style>
  <w:style w:type="character" w:styleId="898">
    <w:name w:val="Основной шрифт абзаца"/>
    <w:next w:val="898"/>
    <w:link w:val="897"/>
    <w:semiHidden/>
  </w:style>
  <w:style w:type="table" w:styleId="899">
    <w:name w:val="Обычная таблица"/>
    <w:next w:val="899"/>
    <w:link w:val="897"/>
    <w:semiHidden/>
    <w:tblPr/>
  </w:style>
  <w:style w:type="numbering" w:styleId="900">
    <w:name w:val="Нет списка"/>
    <w:next w:val="900"/>
    <w:link w:val="897"/>
    <w:semiHidden/>
  </w:style>
  <w:style w:type="paragraph" w:styleId="901">
    <w:name w:val="Основной текст"/>
    <w:basedOn w:val="897"/>
    <w:next w:val="897"/>
    <w:link w:val="897"/>
    <w:pPr>
      <w:ind w:firstLine="0"/>
      <w:jc w:val="both"/>
    </w:pPr>
    <w:rPr>
      <w:sz w:val="22"/>
    </w:rPr>
  </w:style>
  <w:style w:type="paragraph" w:styleId="902">
    <w:name w:val="Верхний колонтитул"/>
    <w:basedOn w:val="897"/>
    <w:next w:val="902"/>
    <w:link w:val="897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03">
    <w:name w:val="Нижний колонтитул"/>
    <w:basedOn w:val="897"/>
    <w:next w:val="903"/>
    <w:link w:val="897"/>
    <w:pPr>
      <w:tabs>
        <w:tab w:val="center" w:pos="4153" w:leader="none"/>
        <w:tab w:val="right" w:pos="8306" w:leader="none"/>
      </w:tabs>
    </w:pPr>
  </w:style>
  <w:style w:type="character" w:styleId="904">
    <w:name w:val="Номер страницы"/>
    <w:basedOn w:val="898"/>
    <w:next w:val="904"/>
    <w:link w:val="897"/>
  </w:style>
  <w:style w:type="paragraph" w:styleId="905">
    <w:name w:val="Название объекта"/>
    <w:basedOn w:val="897"/>
    <w:next w:val="897"/>
    <w:link w:val="897"/>
    <w:qFormat/>
    <w:pPr>
      <w:jc w:val="center"/>
    </w:pPr>
    <w:rPr>
      <w:b/>
      <w:sz w:val="28"/>
    </w:rPr>
  </w:style>
  <w:style w:type="paragraph" w:styleId="906">
    <w:name w:val="Основной текст 2"/>
    <w:basedOn w:val="897"/>
    <w:next w:val="906"/>
    <w:link w:val="897"/>
    <w:pPr>
      <w:ind w:right="5102" w:firstLine="0"/>
      <w:jc w:val="center"/>
      <w:spacing w:before="120"/>
    </w:pPr>
  </w:style>
  <w:style w:type="paragraph" w:styleId="907">
    <w:name w:val="Обращение"/>
    <w:basedOn w:val="897"/>
    <w:next w:val="897"/>
    <w:link w:val="897"/>
    <w:pPr>
      <w:ind w:firstLine="0"/>
      <w:jc w:val="center"/>
      <w:spacing w:before="240" w:after="120"/>
    </w:pPr>
    <w:rPr>
      <w:b/>
    </w:rPr>
  </w:style>
  <w:style w:type="paragraph" w:styleId="908">
    <w:name w:val="Адресные реквизиты"/>
    <w:basedOn w:val="901"/>
    <w:next w:val="901"/>
    <w:link w:val="897"/>
    <w:pPr>
      <w:jc w:val="left"/>
    </w:pPr>
    <w:rPr>
      <w:sz w:val="16"/>
    </w:rPr>
  </w:style>
  <w:style w:type="paragraph" w:styleId="909">
    <w:name w:val="Адресат"/>
    <w:basedOn w:val="897"/>
    <w:next w:val="909"/>
    <w:link w:val="897"/>
    <w:pPr>
      <w:ind w:firstLine="0"/>
      <w:spacing w:before="120"/>
    </w:pPr>
    <w:rPr>
      <w:b/>
    </w:rPr>
  </w:style>
  <w:style w:type="paragraph" w:styleId="910">
    <w:name w:val="Основной текст 3"/>
    <w:basedOn w:val="897"/>
    <w:next w:val="910"/>
    <w:link w:val="897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11" w:default="1">
    <w:name w:val="Default Paragraph Font"/>
    <w:uiPriority w:val="1"/>
    <w:semiHidden/>
    <w:unhideWhenUsed/>
  </w:style>
  <w:style w:type="numbering" w:styleId="912" w:default="1">
    <w:name w:val="No List"/>
    <w:uiPriority w:val="99"/>
    <w:semiHidden/>
    <w:unhideWhenUsed/>
  </w:style>
  <w:style w:type="table" w:styleId="913" w:default="1">
    <w:name w:val="Normal Table"/>
    <w:uiPriority w:val="99"/>
    <w:semiHidden/>
    <w:unhideWhenUsed/>
    <w:tblPr/>
  </w:style>
  <w:style w:type="paragraph" w:styleId="914" w:customStyle="1">
    <w:name w:val="Body Text"/>
    <w:basedOn w:val="869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7"/>
      <w:szCs w:val="27"/>
      <w:highlight w:val="none"/>
      <w:u w:val="none"/>
      <w:vertAlign w:val="baseline"/>
      <w:rtl w:val="0"/>
      <w:cs w:val="0"/>
      <w:lang w:val="en-US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ompany>Администрация Томской области</Company>
  <DocSecurity>0</DocSecurity>
  <HyperlinksChanged>false</HyperlinksChanged>
  <ScaleCrop>false</ScaleCrop>
  <SharedDoc>false</SharedDoc>
  <Template>Постановление АТО +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lsa</cp:lastModifiedBy>
  <cp:revision>27</cp:revision>
  <dcterms:created xsi:type="dcterms:W3CDTF">2009-07-23T06:40:00Z</dcterms:created>
  <dcterms:modified xsi:type="dcterms:W3CDTF">2025-09-05T05:35:15Z</dcterms:modified>
  <cp:version>917504</cp:version>
</cp:coreProperties>
</file>