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2"/>
        <w:ind w:left="0" w:right="1" w:firstLine="0"/>
        <w:jc w:val="both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                                                                                                           №       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62"/>
        <w:ind w:left="0" w:right="1"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62"/>
        <w:ind w:left="0" w:right="1"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62"/>
        <w:ind w:left="0" w:right="1"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 внесении изменений в постановление Администрации Томской области от 24.02.2016 № 57а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ind w:right="4677" w:firstLine="0"/>
        <w:jc w:val="both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ind w:right="4677" w:firstLine="0"/>
        <w:jc w:val="both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целях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совершенствования нормативного правового акта постановляю: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pacing w:val="1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pacing w:val="10"/>
          <w:sz w:val="26"/>
          <w:szCs w:val="26"/>
          <w:highlight w:val="white"/>
        </w:rPr>
        <w:t xml:space="preserve">ПОСТАНОВЛЯЮ:</w:t>
      </w:r>
      <w:r>
        <w:rPr>
          <w:rFonts w:ascii="PT Astra Serif" w:hAnsi="PT Astra Serif" w:cs="PT Astra Serif"/>
          <w:b w:val="0"/>
          <w:bCs w:val="0"/>
          <w:spacing w:val="1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pacing w:val="10"/>
          <w:sz w:val="26"/>
          <w:szCs w:val="26"/>
          <w:highlight w:val="white"/>
        </w:rPr>
      </w:r>
    </w:p>
    <w:p>
      <w:pPr>
        <w:pStyle w:val="95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1.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нести в постановление Администрации Томской области от 24.02.2016 № 57а «Об утверждении Порядка 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территории Томской области» (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Собрание законодательства Томской области, № 3/1 (142)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следующие изменения: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пункте 1 слово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Утвердить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»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заменить словом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Установить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1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Порядок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области, утвержденный указанным постановлением, изложить в новой редакции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согласно приложению к настоящему постановлению.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2.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Настоящее постановление вступает в силу через десять дней после дня его официального опубликования.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ind w:firstLine="0"/>
        <w:spacing w:before="0" w:beforeAutospacing="0"/>
        <w:tabs>
          <w:tab w:val="left" w:pos="7655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Губернатор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Томской области                                                    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    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  В.В. Мазур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953"/>
        <w:ind w:firstLine="0"/>
        <w:spacing w:before="0" w:beforeAutospacing="0"/>
        <w:rPr>
          <w:rFonts w:ascii="PT Astra Serif" w:hAnsi="PT Astra Serif" w:cs="PT Astra Serif"/>
          <w:b w:val="0"/>
          <w:bCs w:val="0"/>
          <w:sz w:val="22"/>
          <w:szCs w:val="22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2"/>
          <w:szCs w:val="22"/>
          <w:highlight w:val="white"/>
        </w:rPr>
        <w:t xml:space="preserve">Киняйкина М.А. </w:t>
      </w:r>
      <w:r>
        <w:rPr>
          <w:rFonts w:ascii="PT Astra Serif" w:hAnsi="PT Astra Serif" w:cs="PT Astra Serif"/>
          <w:b w:val="0"/>
          <w:bCs w:val="0"/>
          <w:sz w:val="22"/>
          <w:szCs w:val="22"/>
          <w:highlight w:val="white"/>
        </w:rPr>
      </w:r>
      <w:r>
        <w:rPr>
          <w:rFonts w:ascii="PT Astra Serif" w:hAnsi="PT Astra Serif" w:cs="PT Astra Serif"/>
          <w:b w:val="0"/>
          <w:bCs w:val="0"/>
          <w:sz w:val="22"/>
          <w:szCs w:val="22"/>
          <w:highlight w:val="white"/>
        </w:rPr>
      </w:r>
    </w:p>
    <w:p>
      <w:pPr>
        <w:shd w:val="nil" w:color="auto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br w:type="page" w:clear="all"/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ind w:left="5669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Приложение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pStyle w:val="793"/>
        <w:ind w:left="5669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 постановлению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Администрации Томской области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ind w:left="5669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от ____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№ 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__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ind w:left="4961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Порядок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contextualSpacing w:val="0"/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t xml:space="preserve">1. Общие положения</w:t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Настоящий Порядок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определяет механизм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предоставления компенсации расходов на уплату взноса на капитальный ремонт общего имущества в многокварт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ирном доме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отдельным категориям граждан, проживающих на территории Томской области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форме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ежемесячной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денежной вы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платы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(далее – ЕДВ КР),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установленной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Законом Томской области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от 13 апреля 2016 года № 23-ОЗ «О 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предоставлении компенсации расходов на уплату взноса на капитальный ремонт для отдельных категорий граждан»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(далее -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Закон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№ 23-ОЗ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статьей 17 Федерального закона от 24 ноября 1995 года № 181-ФЗ «О социальной защите инвалидов в Российской Федерации»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(далее -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Закон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№ 181-ФЗ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предоставляется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проживающим на территории Томской области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инвалидам I и II групп;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2) детям-инвалидам;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3) гражданам, имеющим детей-инвалидов;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4) одиноко проживающим собственникам жилого помещения в многоквартирном доме, достигшим возраста 70 (80) лет;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5) собственникам жилого помещения в многоквартирном доме, достигшим возраста 70(80) лет, проживающим совместно только с другими граждан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ами, достигшими возраста 70(80) лет и (или) неработающими инвалидами I и (или) II групп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предоставляется гражданам, указанным в подпунктах 1) - 5) пункта 2 настоящего Порядка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(далее –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 одно жилое помещение, являющееся местом жительства или местом пребывания гражданина, по выбору гражданина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предоставляется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подведомственными Департаменту социальной защиты населения Томской области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областными государственными казенными учреждениями центрами социальной поддержки населения муниципальных образований Томской области (в отношении граждан, проживающих в мун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иципальных образованиях Томской области) 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областным государственным казенным учреждением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Центр социальной поддержки населения по оплате жилого помещения и коммунальных усл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г» (в отношении граждан, проживающих в муниципальном образовании «Город Томск»)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(далее -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уполномоченное учреждение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keepLines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Выплата гражданам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осуществляется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областным государственным казенным учреждением «Информационно-технический центр Томской области».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Услуга по предоставлению ЕДВ КР осуществляется бесплатно.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предоставляется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 наличии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у гражданина за период не более чем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три последних года.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contextualSpacing w:val="0"/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t xml:space="preserve">2. Предоставление </w:t>
      </w:r>
      <w:r>
        <w:rPr>
          <w:rFonts w:ascii="PT Astra Serif" w:hAnsi="PT Astra Serif" w:eastAsia="PT Astra Serif" w:cs="PT Astra Serif"/>
          <w:b w:val="0"/>
          <w:bCs w:val="0"/>
          <w:caps w:val="0"/>
          <w:sz w:val="26"/>
          <w:szCs w:val="26"/>
          <w:highlight w:val="white"/>
        </w:rPr>
        <w:t xml:space="preserve">ЕДВ К</w:t>
      </w:r>
      <w:r>
        <w:rPr>
          <w:rFonts w:ascii="PT Astra Serif" w:hAnsi="PT Astra Serif" w:eastAsia="PT Astra Serif" w:cs="PT Astra Serif"/>
          <w:b w:val="0"/>
          <w:bCs w:val="0"/>
          <w:cap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Для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необходимы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заявление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ении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компенсации расходов на уплату взноса на капитальный ремонт общего имущества в многоквартирном доме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 форме согласно приложению к настоящему Порядку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(далее -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заявление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и следующие документы (сведения):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копия паспорта или иного документа, удостоверяющего личность гражданина;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копии документов, удостоверяющих личность и подтверждающих полномочия представителя гражданина (в случае подачи заявления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пре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дставителем гражданина);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3) копия документа, подтверждающего отнесение гражданина к отдельной категории,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сведения о наличии инвалидности и ее группе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(при наличии) (при обращении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граждан, указанных 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-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щ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 отсутствия сведений о наличии инвалидности в государственной информационной систе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ме, предусмотренной статьей 5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Федерального закона от 17 июля 1999 года № 178-ФЗ «О государственной социальной помощи»);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4) копия сведений о рождении, 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ведений (выписки) о решении органа опеки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и попечительства об установлении опеки над ребенком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(при обращении граждан,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имеющих детей-инвалидов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5) копия документа иностранного государства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 рождении, о заключении (расторжении) брака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(в случае регистрации записи соответствующего акта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гражданского состояния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компетентным органом иностранного государства) и его удостоверенного в установленном порядке перевода на русский язык.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окументы, составленные на украинском языке, представляются гражданами из числа граждан Российской Федерации, иностранных граждан и лиц без гражданства, постоянно проживавших на территориях Донецкой Народной Республики, Луганской Народной Республики, Запоро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ж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ской области и Херсонской области на день принятия в Российскую Федерацию указанных республик и областей и образования в составе Российской Федерации новых субъектов (30 сентября 2022 года), постоянно проживавших на территориях Донецкой Народной Республики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 Луганской Народной Республики с 11 мая 2014 года по 29 сентября 2022 года, на территориях Запорожской области и Херсонской области с 24 февраля 2022 года по 29 сентября 2022 года и выехавших в эти периоды за пределы указанных территорий в Российскую Феде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ацию, в том числе через территории третьих государств, или постоянно проживавших по состоянию на день вступления в силу Федерального закона от 17 февраля 2023 года № 18-ФЗ «Об особенностях правового регулирования отношений в сфере социальной защиты и социа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льного обслуживания граждан, проживающих на территориях Дон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ецкой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Народной Республики, Луганской Народной Республики, Запорожской области и Херсонской области» на территориях указанных субъектов Российской Федерации, лично без перевода на русский язык;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6)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копия документа о регистрации по месту пребывания гражданина - может быть представлена по собственной инициативе гражданином, обратившимся по месту пребывания;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7)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копия документа, подтверждающего правовые основания владения и пользования жилым помещением, являющимся местом жительства или местом пребывания (для граждан,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указанных 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х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4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5)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щ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8)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правка о неполучении мер социальной поддержки по оплате жилого помещения и коммунальных услуг в соответствии с законодательством по месту жительства (в случае регистрации гражданина по месту жительства на территории иных субъектов Российской Фе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дерации) - может быть представлена по собственной инициативе гражданином, обратившимся по месту пребывания;</w:t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9)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для граждан, проживающих совместно с неработающими инвалидами I и (или) II групп, копия документа, подтверждающего установление инвалидности у проживающего совместно инвалида I и (или) II групп (в случае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отсутствия сведений об отнесении гражданина к льготной категории, инвалидности в государственной информационной системе, предусмотренной статьей 5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 Федерального закона от 17 июля 1999 года № 178-ФЗ «О государственной соц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иальной помощи»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), и ко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ию документа, подтверждающего прекращение трудовой деятельности у проживающего совместно инвалида I и (или) II групп (копия трудовой книжки и (или) сведения о трудовой деятельности, полученные в порядке, предусмотренном статьей 66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 Трудового кодекса Росси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йской Федерации). В случае отсутствия у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неработающих инвалидов I и (или) II групп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, указанных в подпункте 5 пункта 2 настоящего Порядка, трудовой книжки, а также невозможности предоставления сведений о трудовой деятельности, полученных в порядке, предусмотренном статьей 66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  <w:vertAlign w:val="superscript"/>
        </w:rPr>
        <w:t xml:space="preserve">1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 Трудового коде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кса Российской Федерации, неработающий инвалид I и (или) II группы представляет заявление о том, что он на дату обращения за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предоставлением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 не работает по трудовому договору, не осуществляет деятельность в качестве индивидуального предпринимателя, адвоката, нотариуса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, занимающегося частной практикой, не относится к иным физическим лицам, профессиональная деятельность которых в соответствии с федеральными законами подлежит государственной регистрации и (или) лицензированию. Документы и сведения, предус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мотренные настоящи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м подпунктом, могут быть представлены по собственной инициативе;</w:t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10)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сведения, предусмотренные пунктами 1, 3, 6, 10, 16, 19, 20, 23, 24 Перечня документов (сведений), необходимых для назначения компенсации расходов на оплату жилого помещения и коммунальных услуг отдельным категориям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граждан (приложение № 2 к единому стандарт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у предоставления компенсации расходов на оплату жилого помещения и коммунальных услуг отдельным категориям граждан, утвержденному постановлением Правительс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тва Российской Федерации от 27.05.2023 № 835 «Об утверждении единого стан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дарта предоставления компенса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ции расходов на оплату жилого помещения и коммунальных услуг отдельным категориям граждан» (далее – Единый стандарт) (далее - Перечень), в зависимости от сложившейся жизненной ситуации.</w:t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trike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 несет ответственность за полноту и достоверность сведений, указанных в заявлении, в соответствии с законодательством Российской Федерации.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Копии документов, предусмотренные подпунктами 1) - 7) и 9) пункта 7 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настоящего Порядка</w:t>
      </w:r>
      <w:r>
        <w:rPr>
          <w:rFonts w:ascii="PT Astra Serif" w:hAnsi="PT Astra Serif" w:eastAsia="PT Astra Serif" w:cs="PT Astra Serif"/>
          <w:b w:val="0"/>
          <w:bCs w:val="0"/>
          <w:strike w:val="0"/>
          <w:sz w:val="26"/>
          <w:szCs w:val="26"/>
          <w:highlight w:val="white"/>
        </w:rPr>
        <w:t xml:space="preserve">, если они не заверены в установленном порядке, представляются одновременно с оригиналами документов для сверки.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аявление и документы, предусмотренные подпунктами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- 9) пункта 7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настоящего Порядка, представляются в уполномоченное учреждение по месту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жительства (пребывания) гражданина, а также могут быть направлены в уполномоченно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учреждение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электронном виде с использованием федеральной государственной информацион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ной системы «Единый портал государственных и муниципальных услуг (функций)» (далее - Единый порта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л).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 направления заявления с использованием Единого портала гражданин в срок не позднее пяти рабочих дней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со дня регистр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ации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заявления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представляет в уполномоченное учреждение документы, предусмотренные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подпунктами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- 9) пункта 7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Документы, содержащие сведения, предусмотренные подпунктом 10) пункта 7 настоящего Порядка, могут быть представлены гражданином по собственной инициативе.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случае непредставления документов, предусмотренных подпунктом 10) пункта 7 настоящего Порядка, уполномоченное учреждение в течение двух рабочих дней со дня регистрации заявления запрашивает в порядке межведо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мственного информационно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 взаимодействия документы (сведения), предусмотренные подпунктом 10) пункта 7 настоящего Порядка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, в органах и (или) организациях, в рас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поряжении которых находятся указанные в настоящем пункте сведения.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Уполномоченное учреждение принимает решение об отказе в приеме заявления по основаниям, предусмотренным пунктом 11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Единого стандарта.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Уполномоченное учреждение регистрирует заявление не позднее одного рабочего дня: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1) со дня представления заявления в уполномоченное учреждение лично гражданином или представителем гражданина;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2) со дня направления заявления с использованием Единого портала;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3) со дня поступления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заявления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в уполномоченное учреждение в случае подачи заявления через МФЦ.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Уполномоченное учреждение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в течение двух рабочих дней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со дня регистрации заявления запрашивает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в порядке межведомственного информационного взаимодействия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сведения, предусмотренные пунктом 15 Перечня.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Уполномоченное учреждение принимает решение о предоставлении ЕДВ КР или решение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об отказе в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в срок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не позднее десяти рабочих дней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с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о дня регистрации заявления.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О принятом решении уполномоченное учреждение в письменной форме информирует гражданина в срок не позднее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пяти рабочих дней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с даты принятия решения о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или решения об отказе в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Решение об отказе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в 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направляется гражданину с указанием оснований для принятия решения об отказе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в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и порядка его обжалования.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Срок рассмотрения заявления приостанавливается не более чем на пять рабочих дней в случаях, предусмотренных пунктами 15, 17 Единого стандарта.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Срок рассмотрения заявления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приостанавливается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на десять рабочих дней в случае непоступления документов (сведений), запрашиваемых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посредством единой системы межведомственного электронного взаимодействи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я.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Основаниями для принятия решения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об отказе в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 являются: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1) несоотве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тствие гражданина категориям граждан, указанным в пункте 2 настоящего Порядка;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2) противоречие сведений, указанных в заявлении и (или) документах, представленных гражданином, сведениям, поступившим в порядке 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межведомственного информационного взаимодействия</w:t>
      </w:r>
      <w:r>
        <w:rPr>
          <w:rFonts w:ascii="PT Astra Serif" w:hAnsi="PT Astra Serif" w:eastAsia="PT Astra Serif" w:cs="PT Astra Serif"/>
          <w:b w:val="0"/>
          <w:bCs w:val="0"/>
          <w:i w:val="0"/>
          <w:iCs w:val="0"/>
          <w:sz w:val="26"/>
          <w:szCs w:val="26"/>
          <w:highlight w:val="white"/>
        </w:rPr>
        <w:t xml:space="preserve">;</w:t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i w:val="0"/>
          <w:i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3) непредставление документов, предусмотренных подпунктами 1) - 9) пункта 7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Порядка, в течение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пяти рабочих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дней после получения уведомления о приостановлении рассмотрения заявления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, в соответствии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 пунктом 18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астоящего Порядка;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4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наличие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5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установление на дату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регистрации заявления факта получения гражданином мер социальной поддержки на оплату жилого помещения и (или) коммунальных услуг в соответствии с теми же нормативными правовыми актами Российской Федерации и Томской области, предусмотренными пунктом 1 насто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ящего Порядка, и той же категорией.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 предоставляется с месяца, следующего за месяцем регистрации заявления в уполномоченном учреждении.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 изменения гражданином места жительства (пребывания) в пределах Томской области ЕДВ КР по новому месту жительства (пребывания) гражданина предоставляется по заявлению гражданина с месяца прекращения предоставления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 прежнему месту жительства (пребывания) гражданина, но не ранее месяца регистрации гражданина по новому месту жительства (пребывания).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 заявлению гражданина в случае установления инвалидности на новый срок (для граждан указанных в подпунктах 1) - 3), 5)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щ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ЕДВ КР предоставляется с месяца прекращения выплаты компенсации расходов, но не ранее месяца возникновения права на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предоставления 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ри наличии у граждан, указанных в пункте 2 настоящего Порядка, права на получение ЕДВ КР и мер социальной поддержки на оплату жилого помещения, включающих составляющую на уплату взносов на капитальный ремонт в соответствии с иными нормативными правовыми ак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та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м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и по нескольким основаниям, ЕДВ КР или меры социальной поддержки на оплату жилого помещения производятся по одному основанию по выбору гражданина, за исключением граждан, достигших возраста 80 лет и имеющих право на получение ЕДВ КР в размере 50 процентов.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Уполномоченное учреждение осуществл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яет проверку сведений, используемых при расчете ЕДВ КР, о составе семьи, категории благоустройства жилого помещения, правовых оснований пользования, владения жилым помещением в случае получения от органов государственной власти, органов местного самоуправл</w:t>
      </w: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ения, организаций и иных лиц информации об изменении у гражданина состава семьи, категории благоустройства жилого помещения, правовых оснований пользования, владения жилым помещением.</w:t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olor w:val="auto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color w:val="auto"/>
          <w:sz w:val="26"/>
          <w:szCs w:val="26"/>
          <w:highlight w:val="white"/>
        </w:rPr>
        <w:t xml:space="preserve">Провер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ка осуществляется в течение тридцати рабочих дней со дня получения уполномоченным учреждением информации об изменении у граждан состава семьи, категории благоустройства жилого помещения, правовых основ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аний пользования, владения жилым помещением посред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твом направления запросов, в том числе в порядке межведомственного информационного взаимодействия, в органы государственной власти, органы местного самоуправления и организации, в распоряжении которых находятся сведения, позволяющие установить состав семьи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гражданина, категорию благоустройства жилого помещения, правовые основания пользования, владения жилым помещением.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shd w:val="nil" w:color="auto"/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none"/>
        </w:rPr>
        <w:br w:type="page" w:clear="all"/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</w:p>
    <w:p>
      <w:pPr>
        <w:contextualSpacing w:val="0"/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t xml:space="preserve">3. Определение размера ЕДВ</w:t>
      </w: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t xml:space="preserve"> КР</w:t>
      </w: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none"/>
        </w:rPr>
      </w:r>
    </w:p>
    <w:p>
      <w:pPr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азмер ЕДВ КР определяется исходя из минимального размера взноса на капитальный ремонт на один квадратный метр общей площади жилого помещения в месяц, установленного Администрацией Томской области, и размера регионального стандарта нормативной площади жилог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помещения, установленного Администрацией Томской области для расчета субсидий на оплату жилого помещения и коммунальных услуг, с учетом положений статьи 17 Федерального закона от 24 ноября 1995 года № 181-ФЗ «О социальной защите инвалидов в Российской Фед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ерации» и статьями 3, 4 Закона Томской области от 13 апреля 2016 года № 23-ОЗ «О предоставлении компенсации расходов на уплату взноса на капитальный ремонт для отдельных ка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тегорий граждан».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contextualSpacing w:val="0"/>
        <w:ind w:left="0" w:right="0" w:firstLine="0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mallCaps w:val="0"/>
          <w:sz w:val="26"/>
          <w:szCs w:val="26"/>
          <w:highlight w:val="white"/>
        </w:rPr>
        <w:t xml:space="preserve">4. Выплата и перерасчет ЕДВ КР</w:t>
      </w:r>
      <w:r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</w:r>
    </w:p>
    <w:p>
      <w:pPr>
        <w:contextualSpacing w:val="0"/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cap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Выплата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гражданам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осуществляется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ежемесячно, с 5-го по 25-е число, посредством перечисления денежных средств способом, указанным в заявлении.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Выплата гражданам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приостанавливается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с первого числа месяца, следующего за месяцем, в котором возникли основания, предусмотренные пунктом 28 настоящего Порядка.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Основаниями для принятия решения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 приостановлении выплаты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являются: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неполучение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через оператора почтовой связи в течение шести месяцев подряд;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2) возврат из кредитной организации перечисленной на счет гражданина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3) получение из ГИС ЖКХ уполномоченным учреждением информации о наличии у гражданина подтвержденной вступившим в законную силу судебным актом непогашенно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й задолженности по оплате жилых помещений и коммунальных услуг, которая образовалась за период не более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чем три последних года.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Уполномоченное учреждение в письменной форме уведомляет гражданина о приостановлении выплаты ЕДВ КР в срок не позднее пяти рабочих дней с даты принятия решения о приостановлении выплаты ЕДВ КР.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Возобновление выплаты ЕДВ КР приостановленной в соответствии с подпунктами 1), 2) пункта 28 настоящего Порядка, осуществляется с месяца приостановления на основании решения уполномоченного учреждения, принятого по заявлению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гражданина о возобновлении выплаты ЕДВ КР.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Возобновление выплаты ЕДВ КР, приостановленной в соответствии с подпунктом 3) пункта 28 настоящего Порядка, осуществляется с месяца приостановления в случае получения уполномоченным учреждением информации из ГИС ЖКХ или от гражданина о пог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ашении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Основанием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для прекращения предоставления 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является наступление следующих обстоятельств: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изменение места жительства (пребывания) гражданина;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2) предоставление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 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 иной льготной категории или предоставление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компенсации расходов на уплату взноса на капитальный ремонт общего имущества в многокварт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ирном доме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по иному основанию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3) смерть гражданина или вступление в законную силу решения суда об объявлении гражданина умершим или о признании гражданина безвестно отсутствующим;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276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4) утрата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гражданином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права на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ЕДВ 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 наступления обстоятельств, предусмотренных подпунктами 1), 4) пункта 32,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подпунктом 2) пункта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38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гражданин обязан в срок не позднее десяти рабочих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дней с даты наступления обстоятельст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в, предусмотренных подпунктами 1), 4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) пункта 32, подпунктом 2) пункта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38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Порядка, представить в уполномоченное учреждение документы, подтверждающие наступление обстоятельств, предусмотренных подпунктами 1), 4) пункта 32,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подпунктом 2) пункта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38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Удержание излишне выплаченных сумм ЕДВ КР, за исключением удержаний, предусмотренных пунктами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35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настоящего Порядка, производится уполномоченным учреждением в полном объеме из текущей выплаты 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на основании заявления о добровольном возмещении излишне полученных сумм ЕДВ КР. При отсутствии заявления о добровольном возмещении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излишне получ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енных сумм ЕДВ 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излишне выплаченные суммы ЕДВ КР взыскиваются в судебном по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рядке.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Излишне выплаченные в результате счетной ошибки суммы ЕДВ КР удерживаются на основании заявления гражданина о добровольном возмещении излишне выплаченных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результате счетной ошибки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сумм ЕДВ КР в согласованном объеме. При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отсутствии заявления гражданина о добровольном возмещении 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злишне выплаченных в результате счетной ошибки сумм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ЕДВ КР излишне выплаченные в результате счетной ошибки сум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мы ЕДВ КР взыскиваются в судебном порядке.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случае, предусмотренном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абзацем вторым пункта 20 настоящего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Порядка, при наличии права гражданина на предоставление ЕДВ КР излишне выплаченные денежные средства засчитываютс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 в счет будущих выплат ЕДВ КР без подачи заявления. Заче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в счет будущих выплат ЕДВ КР осуществляется на основании решения уполномоченного учреждения в размере 20 процентов текущей выплаты ЕДВ КР до полного погашения долга, за исключением случаев, когда по заявлению гражданина зачет в с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чет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будущих выплат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осуществляется в размере, превышающем указанный процент, или в полном размере.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 прекращении выплаты ЕДВ КР 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озврат излишне выплаченных сумм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осуществляется гражданином добровольно, а в случае отказа гражданина от добровольного возврата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излишне выплаченных сумм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излишне выплаченные суммы ЕДВ КР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взыскиваются в судебном порядке.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Уполномоченное учреждение осуществляет перерасчет размера ЕДВ КР: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1) в беззаявительном порядке: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случае расхождения сведений, полученных в соответствии с пунктом 23 настоящего Порядка, со сведениями, на основании которых осуществляется расчет размера ЕДВ КР, с месяца, следующего за месяцем, в котором наступили изменения обстоятельств, влияющих на раз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мер ЕДВ КР, но не ранее чем за 3 года до месяца получения сведений;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 случае изменения минимального размера взноса на капитальный р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емонт на один квадратный метр общей площади жилого помещения с месяца, в котором наступили указанные изменения;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2) на основании заявления граждан об изменении лиц, зарегистрированных совместно с заявителем, с месяца, следующего за месяцем обращения.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5"/>
        </w:num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Начисленные гражданину суммы ЕДВ КР, не полученные в связи со смертью гражданина, выплачиваются в порядке, установленном гражданским законодательством Российской Федерации.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shd w:val="nil" w:color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  <w:br w:type="page" w:clear="all"/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4535" w:right="0" w:firstLine="0"/>
        <w:jc w:val="righ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Приложение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4535" w:right="0" w:firstLine="0"/>
        <w:jc w:val="righ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к Порядку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4535" w:right="0" w:firstLine="0"/>
        <w:jc w:val="righ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contextualSpacing w:val="0"/>
        <w:ind w:left="0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  <w:suppressLineNumbers w:val="0"/>
      </w:pPr>
      <w:r>
        <w:rPr>
          <w:rFonts w:ascii="PT Astra Serif" w:hAnsi="PT Astra Serif" w:eastAsia="PT Astra Serif" w:cs="PT Astra Serif"/>
          <w:b w:val="0"/>
          <w:bCs w:val="0"/>
          <w:caps/>
          <w:smallCaps w:val="0"/>
          <w:sz w:val="26"/>
          <w:szCs w:val="26"/>
          <w:highlight w:val="white"/>
        </w:rPr>
        <w:t xml:space="preserve">Форма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center"/>
        <w:spacing w:before="0" w:after="120" w:line="240" w:lineRule="auto"/>
        <w:rPr>
          <w:rFonts w:ascii="PT Astra Serif" w:hAnsi="PT Astra Serif" w:cs="PT Astra Serif"/>
          <w:b w:val="0"/>
          <w:bCs w:val="0"/>
          <w:spacing w:val="6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pacing w:val="60"/>
          <w:sz w:val="26"/>
          <w:szCs w:val="26"/>
          <w:highlight w:val="white"/>
          <w:lang w:val="ru-RU" w:bidi="ru-RU"/>
        </w:rPr>
        <w:t xml:space="preserve">ЗАЯВЛЕНИЕ</w:t>
      </w:r>
      <w:r>
        <w:rPr>
          <w:rFonts w:ascii="PT Astra Serif" w:hAnsi="PT Astra Serif" w:cs="PT Astra Serif"/>
          <w:b w:val="0"/>
          <w:bCs w:val="0"/>
          <w:spacing w:val="6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pacing w:val="60"/>
          <w:sz w:val="26"/>
          <w:szCs w:val="26"/>
          <w:highlight w:val="white"/>
        </w:rPr>
      </w:r>
    </w:p>
    <w:p>
      <w:pPr>
        <w:ind w:left="0" w:right="0" w:firstLine="0"/>
        <w:jc w:val="center"/>
        <w:spacing w:before="0" w:after="283" w:afterAutospacing="0" w:line="240" w:lineRule="auto"/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  <w:lang w:val="ru-RU" w:bidi="ru-RU"/>
        </w:rPr>
        <w:t xml:space="preserve">о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  <w:lang w:val="ru-RU" w:bidi="ru-RU"/>
        </w:rPr>
        <w:t xml:space="preserve">предоставления компенсации расходов на уплату взноса на капитальный ремонт общего имущества в многоквартирном доме отдельным категориям граждан, проживающих на территории Томской области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В ОГКУ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«Центр социальной поддержки населения  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tabs>
          <w:tab w:val="left" w:pos="527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  <w:t xml:space="preserve">___________________________________________________________________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0" w:right="0" w:firstLine="0"/>
        <w:jc w:val="center"/>
        <w:spacing w:before="0" w:after="0" w:line="240" w:lineRule="auto"/>
        <w:tabs>
          <w:tab w:val="left" w:pos="527" w:leader="none"/>
        </w:tabs>
        <w:rPr>
          <w:rFonts w:ascii="PT Astra Serif" w:hAnsi="PT Astra Serif" w:cs="PT Astra Serif"/>
          <w:b w:val="0"/>
          <w:bCs w:val="0"/>
          <w:i/>
          <w:sz w:val="20"/>
          <w:szCs w:val="20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/>
          <w:iCs/>
          <w:sz w:val="20"/>
          <w:szCs w:val="20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i/>
          <w:iCs/>
          <w:sz w:val="20"/>
          <w:szCs w:val="20"/>
          <w:highlight w:val="white"/>
        </w:rPr>
        <w:t xml:space="preserve">(наименование уполномоченного учреждения)</w:t>
      </w:r>
      <w:r>
        <w:rPr>
          <w:rFonts w:ascii="PT Astra Serif" w:hAnsi="PT Astra Serif" w:cs="PT Astra Serif"/>
          <w:b w:val="0"/>
          <w:bCs w:val="0"/>
          <w:i/>
          <w:sz w:val="20"/>
          <w:szCs w:val="20"/>
          <w:highlight w:val="white"/>
        </w:rPr>
      </w:r>
      <w:r>
        <w:rPr>
          <w:rFonts w:ascii="PT Astra Serif" w:hAnsi="PT Astra Serif" w:cs="PT Astra Serif"/>
          <w:b w:val="0"/>
          <w:bCs w:val="0"/>
          <w:i/>
          <w:sz w:val="20"/>
          <w:szCs w:val="20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tabs>
          <w:tab w:val="left" w:pos="527" w:leader="none"/>
        </w:tabs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tbl>
      <w:tblPr>
        <w:tblStyle w:val="809"/>
        <w:tblW w:w="0" w:type="auto"/>
        <w:tblInd w:w="2942" w:type="dxa"/>
        <w:tblLayout w:type="fixed"/>
        <w:tblLook w:val="04A0" w:firstRow="1" w:lastRow="0" w:firstColumn="1" w:lastColumn="0" w:noHBand="0" w:noVBand="1"/>
      </w:tblPr>
      <w:tblGrid>
        <w:gridCol w:w="1701"/>
        <w:gridCol w:w="49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Заявитель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27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textDirection w:val="lrTb"/>
            <w:noWrap w:val="false"/>
          </w:tcPr>
          <w:p>
            <w:pPr>
              <w:ind w:left="0" w:right="-108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Ф.И.О.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 (при наличии) заявителя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Представитель 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927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ind w:left="0" w:right="-108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7" w:type="dxa"/>
            <w:textDirection w:val="lrTb"/>
            <w:noWrap w:val="false"/>
          </w:tcPr>
          <w:p>
            <w:pPr>
              <w:ind w:left="0" w:right="-108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Ф.И.О.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0"/>
                <w:szCs w:val="20"/>
                <w:highlight w:val="white"/>
                <w:lang w:val="ru-RU" w:bidi="ru-RU"/>
              </w:rPr>
              <w:t xml:space="preserve"> (при наличии) представителя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4"/>
                <w:szCs w:val="24"/>
                <w:highlight w:val="white"/>
              </w:rPr>
            </w:r>
          </w:p>
        </w:tc>
      </w:tr>
    </w:tbl>
    <w:p>
      <w:pPr>
        <w:ind w:left="482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0" w:type="auto"/>
        <w:jc w:val="center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6"/>
        <w:gridCol w:w="2552"/>
        <w:gridCol w:w="454"/>
        <w:gridCol w:w="2552"/>
      </w:tblGrid>
      <w:tr>
        <w:tblPrEx/>
        <w:trPr>
          <w:jc w:val="center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06" w:type="dxa"/>
            <w:vAlign w:val="bottom"/>
            <w:textDirection w:val="lrTb"/>
            <w:noWrap w:val="false"/>
          </w:tcPr>
          <w:p>
            <w:pPr>
              <w:ind w:left="0" w:right="57" w:firstLine="0"/>
              <w:jc w:val="righ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№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52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от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552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                      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center"/>
        <w:spacing w:before="0" w:after="240" w:line="240" w:lineRule="auto"/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"/>
          <w:szCs w:val="2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Заявитель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____________________________________________________________________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center"/>
        <w:spacing w:before="0" w:after="0" w:line="240" w:lineRule="auto"/>
        <w:rPr>
          <w:rFonts w:ascii="PT Astra Serif" w:hAnsi="PT Astra Serif" w:cs="PT Astra Serif"/>
          <w:b w:val="0"/>
          <w:bCs w:val="0"/>
          <w:i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i/>
          <w:iCs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eastAsia="PT Astra Serif" w:cs="PT Astra Serif"/>
          <w:b w:val="0"/>
          <w:bCs w:val="0"/>
          <w:i/>
          <w:iCs/>
          <w:sz w:val="24"/>
          <w:szCs w:val="24"/>
          <w:highlight w:val="white"/>
          <w:lang w:val="ru-RU" w:bidi="ru-RU"/>
        </w:rPr>
        <w:t xml:space="preserve">(фамилия, имя, отчество (при наличии) заявителя)</w:t>
      </w:r>
      <w:r>
        <w:rPr>
          <w:rFonts w:ascii="PT Astra Serif" w:hAnsi="PT Astra Serif" w:cs="PT Astra Serif"/>
          <w:b w:val="0"/>
          <w:bCs w:val="0"/>
          <w:i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i/>
          <w:sz w:val="24"/>
          <w:szCs w:val="24"/>
          <w:highlight w:val="white"/>
        </w:rPr>
      </w:r>
    </w:p>
    <w:p>
      <w:pPr>
        <w:ind w:left="0" w:right="1" w:firstLine="0"/>
        <w:jc w:val="left"/>
        <w:spacing w:before="113" w:beforeAutospacing="0"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СНИЛС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____________________________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Телефон ________________________ 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Адрес электронной почты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 ____________________________________________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</w:p>
    <w:p>
      <w:pPr>
        <w:ind w:left="0" w:right="3259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952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4"/>
        <w:gridCol w:w="2268"/>
        <w:gridCol w:w="1984"/>
        <w:gridCol w:w="226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Наименование документа, удостоверяющего личность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Дата выдачи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Серия и номер документа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Кем выдан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2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0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Дата рождения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Место рождения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</w:tbl>
    <w:p>
      <w:pPr>
        <w:ind w:left="0" w:right="0" w:firstLine="0"/>
        <w:jc w:val="both"/>
        <w:spacing w:before="227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Адрес регистрации по месту жительства ____________________________________________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both"/>
        <w:spacing w:before="227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_______________________________________________________________________________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both"/>
        <w:spacing w:before="227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Адрес регистрации по месту пребывания ___________________________________________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227" w:beforeAutospacing="0" w:after="0" w:line="240" w:lineRule="auto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_______________________________________________________________________________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</w:p>
    <w:p>
      <w:pPr>
        <w:ind w:left="0" w:right="0" w:firstLine="0"/>
        <w:jc w:val="left"/>
        <w:spacing w:before="227" w:beforeAutospacing="0" w:after="0" w:line="240" w:lineRule="auto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Причина отнесения заявителя к отдельным категориям граждан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</w:p>
    <w:p>
      <w:pPr>
        <w:ind w:left="0" w:right="0" w:firstLine="0"/>
        <w:jc w:val="left"/>
        <w:spacing w:before="0" w:beforeAutospacing="0" w:after="0" w:line="240" w:lineRule="auto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beforeAutospacing="0" w:after="0" w:line="240" w:lineRule="auto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0"/>
          <w:szCs w:val="20"/>
          <w:highlight w:val="white"/>
          <w:lang w:val="ru-RU" w:bidi="ru-RU"/>
        </w:rPr>
        <w:t xml:space="preserve">(указать льготную категорию)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227" w:beforeAutospacing="0" w:after="0" w:line="240" w:lineRule="auto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Наименование, номер и дата выдачи документа, подтверждающего льготную категорию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_______________________________________________________________________________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1" w:firstLine="0"/>
        <w:jc w:val="left"/>
        <w:spacing w:before="227" w:beforeAutospacing="0" w:after="0" w:line="240" w:lineRule="auto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Срок действия льготной категории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 ________________________________________________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left="0" w:right="0" w:firstLine="0"/>
        <w:jc w:val="center"/>
        <w:pageBreakBefore/>
        <w:spacing w:before="0" w:after="36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white"/>
          <w:lang w:val="ru-RU" w:bidi="ru-RU"/>
        </w:rPr>
        <w:t xml:space="preserve">Сведения о представителе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Вид представителя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2072" w:right="0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  <w:pBdr>
          <w:top w:val="singl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sz w:val="2"/>
          <w:szCs w:val="2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</w:p>
    <w:p>
      <w:pPr>
        <w:ind w:left="0" w:right="0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Фамилия, имя, отчество (при наличии)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4102" w:right="0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  <w:pBdr>
          <w:top w:val="singl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sz w:val="2"/>
          <w:szCs w:val="2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  <w:r>
        <w:rPr>
          <w:rFonts w:ascii="PT Astra Serif" w:hAnsi="PT Astra Serif" w:cs="PT Astra Serif"/>
          <w:b w:val="0"/>
          <w:bCs w:val="0"/>
          <w:sz w:val="2"/>
          <w:szCs w:val="2"/>
          <w:highlight w:val="white"/>
        </w:rPr>
      </w:r>
    </w:p>
    <w:p>
      <w:pPr>
        <w:ind w:left="0" w:right="1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СНИЛС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_____________________________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Телефон __________________________________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Адрес электронной почты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 ______________________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3259" w:firstLine="0"/>
        <w:jc w:val="left"/>
        <w:spacing w:before="6" w:beforeAutospacing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966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2722"/>
        <w:gridCol w:w="1758"/>
        <w:gridCol w:w="2351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Наименование документа, удостоверяющего личность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Дата выдачи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Серия и номер документа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Кем выдан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35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gridSpan w:val="4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6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Дата рождения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22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58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  <w:t xml:space="preserve">Место рождения</w:t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2"/>
                <w:szCs w:val="22"/>
                <w:highlight w:val="white"/>
              </w:rPr>
            </w:r>
          </w:p>
        </w:tc>
      </w:tr>
    </w:tbl>
    <w:p>
      <w:pPr>
        <w:ind w:left="0" w:right="0" w:firstLine="0"/>
        <w:jc w:val="center"/>
        <w:spacing w:before="360" w:after="36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Сведения о жилом помещении, в котором заявитель зарегистрирован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br/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по месту жительства (месту пребывания) и в отношении которого будет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предоставляться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компенсация расходов на уплату взноса на капитальный ремонт общего имущества в многоквартирном доме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 (ЕДВ КР)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966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30"/>
        <w:gridCol w:w="623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Вид жилого помещения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Номер лицевого счета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Кем является заявитель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Сведения о правообладателе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жилого помещения: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Фамилия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Имя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Отчество (при наличии)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Дата рождения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если есть)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СНИЛС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если есть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30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Кем является правообладатель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жилого помещения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6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center"/>
        <w:spacing w:before="360" w:after="36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Сведения о гражданах, зарегистрированных по месту жительства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br/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(пребывания) с заявителем по адресу объекта, в отношении которого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br/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подается заявление о предоставлении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компенсации расходов на уплату взноса на капитальный ремонт общего имущества в многоквартирном доме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 (ЕДВ КР)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966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1644"/>
        <w:gridCol w:w="1191"/>
        <w:gridCol w:w="1191"/>
        <w:gridCol w:w="1191"/>
        <w:gridCol w:w="1869"/>
        <w:gridCol w:w="212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п/п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Фамилия,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имя, отчество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(при наличии)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Дата рождения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СНИЛС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Степень родства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Документ, удостоверяющий личность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(серия, номер,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кем и когда выдан, код подразделения)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Документ, подтверждающий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родство с заявителем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(реквизиты записи акта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о заключении брака,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br/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о рождении детей – номер записи, дата записи, наименование органа, которым осуществлена государственная регистрация акта гражданского состояния)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1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заявитель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2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3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9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  <w:t xml:space="preserve">4</w:t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44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91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69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0"/>
                <w:szCs w:val="20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0"/>
                <w:szCs w:val="20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  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ЕДВ КР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прошу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предоставлять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(нужное отметить):</w:t>
      </w:r>
      <w:r>
        <w:rPr>
          <w:rFonts w:ascii="PT Astra Serif" w:hAnsi="PT Astra Serif" w:cs="PT Astra Serif"/>
          <w:b w:val="0"/>
          <w:bCs w:val="0"/>
          <w:highlight w:val="white"/>
        </w:rPr>
      </w:r>
      <w:r>
        <w:rPr>
          <w:rFonts w:ascii="PT Astra Serif" w:hAnsi="PT Astra Serif" w:cs="PT Astra Serif"/>
          <w:b w:val="0"/>
          <w:bCs w:val="0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9179"/>
      </w:tblGrid>
      <w:tr>
        <w:tblPrEx/>
        <w:trPr/>
        <w:tc>
          <w:tcPr>
            <w:tcBorders>
              <w:right w:val="single" w:color="000000" w:sz="4" w:space="0"/>
            </w:tcBorders>
            <w:tcW w:w="533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9179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путем зачисления в кредитную организацию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Банк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):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3368"/>
        <w:gridCol w:w="6378"/>
      </w:tblGrid>
      <w:tr>
        <w:tblPrEx/>
        <w:trPr/>
        <w:tc>
          <w:tcPr>
            <w:tcW w:w="3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12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данные получателя средств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  <w:tr>
        <w:tblPrEx/>
        <w:trPr/>
        <w:tc>
          <w:tcPr>
            <w:tcW w:w="3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БИК или наименование банка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  <w:tr>
        <w:tblPrEx/>
        <w:trPr/>
        <w:tc>
          <w:tcPr>
            <w:tcW w:w="3368" w:type="dxa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корреспондентский счет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W w:w="637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  <w:tr>
        <w:tblPrEx/>
        <w:trPr/>
        <w:tc>
          <w:tcPr>
            <w:tcW w:w="3368" w:type="dxa"/>
            <w:vMerge w:val="restart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12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номер счета заявителя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W w:w="637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9179"/>
      </w:tblGrid>
      <w:tr>
        <w:tblPrEx/>
        <w:trPr/>
        <w:tc>
          <w:tcPr>
            <w:tcBorders>
              <w:right w:val="single" w:color="000000" w:sz="4" w:space="0"/>
            </w:tcBorders>
            <w:tcW w:w="533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9179" w:type="dxa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через оператора почтовой связи по месту жительства/по месту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пребывания (Почта)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2092"/>
        <w:gridCol w:w="7654"/>
      </w:tblGrid>
      <w:tr>
        <w:tblPrEx/>
        <w:trPr/>
        <w:tc>
          <w:tcPr>
            <w:tcW w:w="2092" w:type="dxa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12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Адрес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получателя 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W w:w="765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ешение о предоставлении ЕДВ КР или решение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об отказе в 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предоставлении ЕДВ КР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 хочу получить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  <w:t xml:space="preserve">: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533"/>
        <w:gridCol w:w="4394"/>
        <w:gridCol w:w="4718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5" w:type="dxa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 в бумажном виде: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18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многофункциональном центре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МФЦ)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718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3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18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 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4"/>
                <w:szCs w:val="24"/>
                <w:highlight w:val="white"/>
              </w:rPr>
              <w:t xml:space="preserve">Указать адрес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111" w:type="dxa"/>
            <w:vMerge w:val="restart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9111" w:type="dxa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в уполномоченном учреждении, принимающем решение (лично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, почтовым отправлением)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 (нужное подчеркнуть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)</w:t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3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18" w:type="dxa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5" w:type="dxa"/>
            <w:vMerge w:val="restart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 в электронном виде: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18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3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4394" w:type="dxa"/>
            <w:vMerge w:val="restart"/>
            <w:textDirection w:val="lrTb"/>
            <w:noWrap w:val="false"/>
          </w:tcPr>
          <w:p>
            <w:pPr>
              <w:ind w:left="0" w:right="-34" w:firstLine="0"/>
              <w:jc w:val="both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  <w:t xml:space="preserve">в личном кабинете Единого портала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18" w:type="dxa"/>
            <w:vMerge w:val="restart"/>
            <w:textDirection w:val="lrTb"/>
            <w:noWrap w:val="false"/>
          </w:tcPr>
          <w:p>
            <w:pPr>
              <w:ind w:left="0" w:right="459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highlight w:val="white"/>
        </w:rPr>
      </w:r>
      <w:r>
        <w:rPr>
          <w:rFonts w:ascii="PT Astra Serif" w:hAnsi="PT Astra Serif" w:cs="PT Astra Serif"/>
          <w:b w:val="0"/>
          <w:bCs w:val="0"/>
          <w:highlight w:val="white"/>
        </w:rPr>
      </w:r>
    </w:p>
    <w:p>
      <w:pPr>
        <w:ind w:left="0" w:right="0" w:firstLine="0"/>
        <w:jc w:val="left"/>
        <w:keepNext/>
        <w:spacing w:before="120" w:after="6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К заявлению прилагаю копии следующих документов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969"/>
        <w:tblW w:w="997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9384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center"/>
            <w:textDirection w:val="lrTb"/>
            <w:noWrap w:val="false"/>
          </w:tcPr>
          <w:p>
            <w:pPr>
              <w:ind w:left="142" w:right="0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№ п/п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  <w:t xml:space="preserve">Наименование документов</w:t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vMerge w:val="restart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vMerge w:val="restart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vMerge w:val="restart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vMerge w:val="restart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" w:type="dxa"/>
            <w:vAlign w:val="top"/>
            <w:vMerge w:val="restart"/>
            <w:textDirection w:val="lrTb"/>
            <w:noWrap w:val="false"/>
          </w:tcPr>
          <w:p>
            <w:pPr>
              <w:pStyle w:val="793"/>
              <w:numPr>
                <w:ilvl w:val="0"/>
                <w:numId w:val="18"/>
              </w:numPr>
              <w:ind w:left="142" w:right="0" w:firstLine="0"/>
              <w:jc w:val="left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84" w:type="dxa"/>
            <w:vAlign w:val="top"/>
            <w:vMerge w:val="restart"/>
            <w:textDirection w:val="lrTb"/>
            <w:noWrap w:val="false"/>
          </w:tcPr>
          <w:p>
            <w:pPr>
              <w:ind w:left="57" w:right="57" w:firstLine="0"/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567"/>
        <w:jc w:val="both"/>
        <w:keepNext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567"/>
        <w:jc w:val="both"/>
        <w:keepNext/>
        <w:spacing w:before="0" w:after="0" w:line="240" w:lineRule="auto"/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Об ответственности за достоверность представленных сведений предупрежден(а).</w:t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567"/>
        <w:jc w:val="both"/>
        <w:keepNext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  <w:lang w:val="ru-RU" w:bidi="ru-RU"/>
        </w:rPr>
        <w:t xml:space="preserve">Даю согласие на получение, обработку и передачу моих персональных данных в соответствии с Федеральным законом «Об информации, информационных технологиях и о защите информации» и Федеральным законом «О персональных данных».</w:t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0"/>
        <w:jc w:val="left"/>
        <w:spacing w:before="0" w:after="0" w:line="240" w:lineRule="auto"/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1691"/>
        <w:gridCol w:w="543"/>
        <w:gridCol w:w="2835"/>
        <w:gridCol w:w="567"/>
        <w:gridCol w:w="407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91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3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077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91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Дата)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3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Подпись заявителя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(представителя заявителя)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077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beforeAutospacing="0"/>
              <w:tabs>
                <w:tab w:val="left" w:pos="1134" w:leader="none"/>
                <w:tab w:val="left" w:pos="7088" w:leader="none"/>
              </w:tabs>
              <w:rPr>
                <w:rFonts w:ascii="PT Astra Serif" w:hAnsi="PT Astra Serif" w:cs="PT Astra Serif"/>
                <w:b w:val="0"/>
                <w:bCs w:val="0"/>
                <w:i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(Фамилия, инициалы заявителя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                           (представителя заявителя)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6"/>
                <w:szCs w:val="26"/>
                <w:highlight w:val="white"/>
              </w:rPr>
            </w:r>
          </w:p>
        </w:tc>
      </w:tr>
    </w:tbl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  <w:r>
        <w:rPr>
          <w:rFonts w:ascii="PT Astra Serif" w:hAnsi="PT Astra Serif" w:cs="PT Astra Serif"/>
          <w:b w:val="0"/>
          <w:bCs w:val="0"/>
          <w:sz w:val="24"/>
          <w:szCs w:val="24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УВЕДОМЛЕНИЕ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Я уведомлен(а), что: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1. Денежные средства, полученные в виде ЕДВ КР предназначены для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уплаты взноса на капитальный ремонт общего имущества в многоквартирном доме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2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. Необходимо в течение десяти рабочих дней сообщить о наступлении обстоятельств, влекущих изменение размера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либо  приостановление, прекращение ее предоставления, за исключением смерти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получателя ЕДВ КР (смена места жительства, изменение состава семьи, номера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банковского счета, персональных данных, утрата права собственности на жилое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помещение  -  для  граждан,  достигших  возраста 70 (80) лет)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3. Возврат излишне выплаченных денежных средств ЕДВ КР производится добровольно или взыскивается в судебном порядке.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Об ответственности за достоверность представленных сведений предупрежден(а).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567"/>
        <w:jc w:val="both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Даю согласие на получение, обработку и передачу моих персональных данных в соответствии с Федеральным законом «Об информации, информационных технологиях и о защите информации» и Федеральным законом «О персональных данных».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tbl>
      <w:tblPr>
        <w:tblStyle w:val="809"/>
        <w:tblW w:w="0" w:type="auto"/>
        <w:tblLayout w:type="fixed"/>
        <w:tblLook w:val="04A0" w:firstRow="1" w:lastRow="0" w:firstColumn="1" w:lastColumn="0" w:noHBand="0" w:noVBand="1"/>
      </w:tblPr>
      <w:tblGrid>
        <w:gridCol w:w="1691"/>
        <w:gridCol w:w="543"/>
        <w:gridCol w:w="2835"/>
        <w:gridCol w:w="567"/>
        <w:gridCol w:w="39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691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3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968" w:type="dxa"/>
            <w:textDirection w:val="lrTb"/>
            <w:noWrap w:val="false"/>
          </w:tcPr>
          <w:p>
            <w:pPr>
              <w:jc w:val="left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6"/>
                <w:szCs w:val="26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691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Дата)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3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  <w:t xml:space="preserve">Подпись заявителя 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(представителя заявителя)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40" w:lineRule="auto"/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  <w:lang w:val="ru-RU" w:bidi="ru-RU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8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beforeAutospacing="0"/>
              <w:tabs>
                <w:tab w:val="left" w:pos="1134" w:leader="none"/>
                <w:tab w:val="left" w:pos="7088" w:leader="none"/>
              </w:tabs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(Фамилия, инициалы заявителя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i/>
                <w:iCs/>
                <w:sz w:val="22"/>
                <w:szCs w:val="22"/>
                <w:highlight w:val="white"/>
              </w:rPr>
              <w:t xml:space="preserve">                           (представителя заявителя)</w:t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b w:val="0"/>
                <w:bCs w:val="0"/>
                <w:i/>
                <w:sz w:val="22"/>
                <w:szCs w:val="22"/>
                <w:highlight w:val="white"/>
              </w:rPr>
            </w:r>
          </w:p>
        </w:tc>
      </w:tr>
    </w:tbl>
    <w:p>
      <w:pPr>
        <w:ind w:left="0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ab/>
        <w:tab/>
        <w:tab/>
        <w:tab/>
      </w:r>
      <w:r>
        <w:rPr>
          <w:rFonts w:ascii="PT Astra Serif" w:hAnsi="PT Astra Serif" w:cs="PT Astra Serif"/>
          <w:b w:val="0"/>
          <w:bCs w:val="0"/>
          <w:highlight w:val="white"/>
        </w:rPr>
      </w:r>
      <w:r>
        <w:rPr>
          <w:rFonts w:ascii="PT Astra Serif" w:hAnsi="PT Astra Serif" w:cs="PT Astra Serif"/>
          <w:b w:val="0"/>
          <w:bCs w:val="0"/>
          <w:highlight w:val="white"/>
        </w:rPr>
      </w:r>
    </w:p>
    <w:p>
      <w:pPr>
        <w:ind w:left="0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- - - - - - - - - - - - - - - - - - - - - - - - - - - - - - -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- - - - - - - - - - - - - - - - - - - - - - - - - - - - - - -</w:t>
      </w:r>
      <w:r>
        <w:rPr>
          <w:rFonts w:ascii="PT Astra Serif" w:hAnsi="PT Astra Serif" w:cs="PT Astra Serif"/>
          <w:b w:val="0"/>
          <w:bCs w:val="0"/>
          <w:highlight w:val="white"/>
        </w:rPr>
      </w:r>
      <w:r>
        <w:rPr>
          <w:rFonts w:ascii="PT Astra Serif" w:hAnsi="PT Astra Serif" w:cs="PT Astra Serif"/>
          <w:b w:val="0"/>
          <w:bCs w:val="0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РАСПИСКА-УВЕДОМЛЕНИЕ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center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38"/>
        </w:numPr>
        <w:ind w:left="0" w:right="0" w:firstLine="567"/>
        <w:jc w:val="both"/>
        <w:spacing w:before="0" w:beforeAutospacing="0"/>
        <w:tabs>
          <w:tab w:val="left" w:pos="992" w:leader="none"/>
          <w:tab w:val="left" w:pos="1134" w:leader="none"/>
          <w:tab w:val="left" w:pos="7088" w:leader="none"/>
          <w:tab w:val="left" w:pos="9213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Денежные  средства,  полученные  в  виде  ЕДВ КР, предназначены для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уплаты  взноса  на  капитальный  ремонт  общего имущества в многоквартирном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доме.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38"/>
        </w:numPr>
        <w:ind w:left="0" w:right="0" w:firstLine="567"/>
        <w:jc w:val="both"/>
        <w:spacing w:before="0" w:beforeAutospacing="0"/>
        <w:tabs>
          <w:tab w:val="left" w:pos="992" w:leader="none"/>
          <w:tab w:val="left" w:pos="1134" w:leader="none"/>
          <w:tab w:val="left" w:pos="7088" w:leader="none"/>
          <w:tab w:val="left" w:pos="9213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При  наступлении  обстоятельств,  влекущих изменение размера ЕДВ КР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либо  приостановление, прекращение ее предоставления, за исключением смерти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получателя  ЕДВ КР (смена места жительства, изменение состава семьи, номера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банковского счета, персональных данных, утрата права собственности на жилое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помещение  -  для  граждан,  достигших  возраста 70 (80) лет), необходимо в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течение   10   рабочих   дней   сообщить   о   наступлении  соответствующих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обстоятельств.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pStyle w:val="793"/>
        <w:numPr>
          <w:ilvl w:val="0"/>
          <w:numId w:val="38"/>
        </w:numPr>
        <w:ind w:left="0" w:right="0" w:firstLine="567"/>
        <w:jc w:val="both"/>
        <w:spacing w:before="0" w:beforeAutospacing="0"/>
        <w:tabs>
          <w:tab w:val="left" w:pos="992" w:leader="none"/>
          <w:tab w:val="left" w:pos="1134" w:leader="none"/>
          <w:tab w:val="left" w:pos="7088" w:leader="none"/>
          <w:tab w:val="left" w:pos="9213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Возврат   излишне   выплаченных   денежных   средств  производится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добровольно или взыскивается в судебном порядке.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  <w:tab w:val="left" w:pos="9496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709"/>
        <w:jc w:val="both"/>
        <w:spacing w:before="0" w:beforeAutospacing="0"/>
        <w:tabs>
          <w:tab w:val="left" w:pos="1134" w:leader="none"/>
          <w:tab w:val="left" w:pos="7088" w:leader="none"/>
          <w:tab w:val="left" w:pos="9496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Заявление и документы гр. ____________________________________________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p>
      <w:pPr>
        <w:ind w:left="0" w:right="0" w:firstLine="0"/>
        <w:jc w:val="left"/>
        <w:spacing w:before="0" w:beforeAutospacing="0"/>
        <w:tabs>
          <w:tab w:val="left" w:pos="1134" w:leader="none"/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от «_____» ____________ 20___ г. принял ____________________________________</w:t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white"/>
        </w:rPr>
      </w:r>
    </w:p>
    <w:sectPr>
      <w:headerReference w:type="first" r:id="rId9"/>
      <w:footnotePr/>
      <w:endnotePr/>
      <w:type w:val="nextPage"/>
      <w:pgSz w:w="11907" w:h="16840" w:orient="portrait"/>
      <w:pgMar w:top="1277" w:right="851" w:bottom="823" w:left="1559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376582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958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958"/>
      <w:ind w:firstLine="0"/>
      <w:spacing w:before="240" w:after="0"/>
      <w:rPr>
        <w:rFonts w:ascii="PT Astra Serif" w:hAnsi="PT Astra Serif"/>
        <w:spacing w:val="20"/>
        <w:highlight w:val="none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highlight w:val="none"/>
      </w:rPr>
    </w:r>
    <w:r>
      <w:rPr>
        <w:rFonts w:ascii="PT Astra Serif" w:hAnsi="PT Astra Serif"/>
        <w:spacing w:val="20"/>
        <w:highlight w:val="none"/>
      </w:rPr>
    </w:r>
  </w:p>
  <w:p>
    <w:pPr>
      <w:pStyle w:val="958"/>
      <w:ind w:firstLine="0"/>
      <w:spacing w:before="240" w:after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  <w:szCs w:val="28"/>
        <w:highlight w:val="none"/>
      </w:rPr>
    </w:r>
    <w:r>
      <w:rPr>
        <w:rFonts w:ascii="PT Astra Serif" w:hAnsi="PT Astra Serif"/>
        <w:spacing w:val="20"/>
      </w:rPr>
    </w:r>
    <w:r>
      <w:rPr>
        <w:rFonts w:ascii="PT Astra Serif" w:hAnsi="PT Astra Serif"/>
        <w:spacing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righ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5">
    <w:name w:val="Heading 1"/>
    <w:basedOn w:val="953"/>
    <w:next w:val="953"/>
    <w:link w:val="77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6">
    <w:name w:val="Heading 1 Char"/>
    <w:link w:val="775"/>
    <w:uiPriority w:val="9"/>
    <w:rPr>
      <w:rFonts w:ascii="Arial" w:hAnsi="Arial" w:eastAsia="Arial" w:cs="Arial"/>
      <w:sz w:val="40"/>
      <w:szCs w:val="40"/>
    </w:rPr>
  </w:style>
  <w:style w:type="paragraph" w:styleId="777">
    <w:name w:val="Heading 2"/>
    <w:basedOn w:val="953"/>
    <w:next w:val="953"/>
    <w:link w:val="77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8">
    <w:name w:val="Heading 2 Char"/>
    <w:link w:val="777"/>
    <w:uiPriority w:val="9"/>
    <w:rPr>
      <w:rFonts w:ascii="Arial" w:hAnsi="Arial" w:eastAsia="Arial" w:cs="Arial"/>
      <w:sz w:val="34"/>
    </w:rPr>
  </w:style>
  <w:style w:type="paragraph" w:styleId="779">
    <w:name w:val="Heading 3"/>
    <w:basedOn w:val="953"/>
    <w:next w:val="953"/>
    <w:link w:val="78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0">
    <w:name w:val="Heading 3 Char"/>
    <w:link w:val="779"/>
    <w:uiPriority w:val="9"/>
    <w:rPr>
      <w:rFonts w:ascii="Arial" w:hAnsi="Arial" w:eastAsia="Arial" w:cs="Arial"/>
      <w:sz w:val="30"/>
      <w:szCs w:val="30"/>
    </w:rPr>
  </w:style>
  <w:style w:type="paragraph" w:styleId="781">
    <w:name w:val="Heading 4"/>
    <w:basedOn w:val="953"/>
    <w:next w:val="953"/>
    <w:link w:val="78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2">
    <w:name w:val="Heading 4 Char"/>
    <w:link w:val="781"/>
    <w:uiPriority w:val="9"/>
    <w:rPr>
      <w:rFonts w:ascii="Arial" w:hAnsi="Arial" w:eastAsia="Arial" w:cs="Arial"/>
      <w:b/>
      <w:bCs/>
      <w:sz w:val="26"/>
      <w:szCs w:val="26"/>
    </w:rPr>
  </w:style>
  <w:style w:type="paragraph" w:styleId="783">
    <w:name w:val="Heading 5"/>
    <w:basedOn w:val="953"/>
    <w:next w:val="953"/>
    <w:link w:val="78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4">
    <w:name w:val="Heading 5 Char"/>
    <w:link w:val="783"/>
    <w:uiPriority w:val="9"/>
    <w:rPr>
      <w:rFonts w:ascii="Arial" w:hAnsi="Arial" w:eastAsia="Arial" w:cs="Arial"/>
      <w:b/>
      <w:bCs/>
      <w:sz w:val="24"/>
      <w:szCs w:val="24"/>
    </w:rPr>
  </w:style>
  <w:style w:type="paragraph" w:styleId="785">
    <w:name w:val="Heading 6"/>
    <w:basedOn w:val="953"/>
    <w:next w:val="953"/>
    <w:link w:val="78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6">
    <w:name w:val="Heading 6 Char"/>
    <w:link w:val="785"/>
    <w:uiPriority w:val="9"/>
    <w:rPr>
      <w:rFonts w:ascii="Arial" w:hAnsi="Arial" w:eastAsia="Arial" w:cs="Arial"/>
      <w:b/>
      <w:bCs/>
      <w:sz w:val="22"/>
      <w:szCs w:val="22"/>
    </w:rPr>
  </w:style>
  <w:style w:type="paragraph" w:styleId="787">
    <w:name w:val="Heading 7"/>
    <w:basedOn w:val="953"/>
    <w:next w:val="953"/>
    <w:link w:val="7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8">
    <w:name w:val="Heading 7 Char"/>
    <w:link w:val="7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9">
    <w:name w:val="Heading 8"/>
    <w:basedOn w:val="953"/>
    <w:next w:val="953"/>
    <w:link w:val="79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0">
    <w:name w:val="Heading 8 Char"/>
    <w:link w:val="789"/>
    <w:uiPriority w:val="9"/>
    <w:rPr>
      <w:rFonts w:ascii="Arial" w:hAnsi="Arial" w:eastAsia="Arial" w:cs="Arial"/>
      <w:i/>
      <w:iCs/>
      <w:sz w:val="22"/>
      <w:szCs w:val="22"/>
    </w:rPr>
  </w:style>
  <w:style w:type="paragraph" w:styleId="791">
    <w:name w:val="Heading 9"/>
    <w:basedOn w:val="953"/>
    <w:next w:val="953"/>
    <w:link w:val="79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2">
    <w:name w:val="Heading 9 Char"/>
    <w:link w:val="791"/>
    <w:uiPriority w:val="9"/>
    <w:rPr>
      <w:rFonts w:ascii="Arial" w:hAnsi="Arial" w:eastAsia="Arial" w:cs="Arial"/>
      <w:i/>
      <w:iCs/>
      <w:sz w:val="21"/>
      <w:szCs w:val="21"/>
    </w:rPr>
  </w:style>
  <w:style w:type="paragraph" w:styleId="793">
    <w:name w:val="List Paragraph"/>
    <w:basedOn w:val="953"/>
    <w:uiPriority w:val="34"/>
    <w:qFormat/>
    <w:pPr>
      <w:contextualSpacing/>
      <w:ind w:left="720"/>
    </w:pPr>
  </w:style>
  <w:style w:type="paragraph" w:styleId="794">
    <w:name w:val="No Spacing"/>
    <w:uiPriority w:val="1"/>
    <w:qFormat/>
    <w:pPr>
      <w:spacing w:before="0" w:after="0" w:line="240" w:lineRule="auto"/>
    </w:pPr>
  </w:style>
  <w:style w:type="paragraph" w:styleId="795">
    <w:name w:val="Title"/>
    <w:basedOn w:val="953"/>
    <w:next w:val="953"/>
    <w:link w:val="7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6">
    <w:name w:val="Title Char"/>
    <w:link w:val="795"/>
    <w:uiPriority w:val="10"/>
    <w:rPr>
      <w:sz w:val="48"/>
      <w:szCs w:val="48"/>
    </w:rPr>
  </w:style>
  <w:style w:type="paragraph" w:styleId="797">
    <w:name w:val="Subtitle"/>
    <w:basedOn w:val="953"/>
    <w:next w:val="953"/>
    <w:link w:val="798"/>
    <w:uiPriority w:val="11"/>
    <w:qFormat/>
    <w:pPr>
      <w:spacing w:before="200" w:after="200"/>
    </w:pPr>
    <w:rPr>
      <w:sz w:val="24"/>
      <w:szCs w:val="24"/>
    </w:rPr>
  </w:style>
  <w:style w:type="character" w:styleId="798">
    <w:name w:val="Subtitle Char"/>
    <w:link w:val="797"/>
    <w:uiPriority w:val="11"/>
    <w:rPr>
      <w:sz w:val="24"/>
      <w:szCs w:val="24"/>
    </w:rPr>
  </w:style>
  <w:style w:type="paragraph" w:styleId="799">
    <w:name w:val="Quote"/>
    <w:basedOn w:val="953"/>
    <w:next w:val="953"/>
    <w:link w:val="800"/>
    <w:uiPriority w:val="29"/>
    <w:qFormat/>
    <w:pPr>
      <w:ind w:left="720" w:right="720"/>
    </w:pPr>
    <w:rPr>
      <w:i/>
    </w:rPr>
  </w:style>
  <w:style w:type="character" w:styleId="800">
    <w:name w:val="Quote Char"/>
    <w:link w:val="799"/>
    <w:uiPriority w:val="29"/>
    <w:rPr>
      <w:i/>
    </w:rPr>
  </w:style>
  <w:style w:type="paragraph" w:styleId="801">
    <w:name w:val="Intense Quote"/>
    <w:basedOn w:val="953"/>
    <w:next w:val="953"/>
    <w:link w:val="8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2">
    <w:name w:val="Intense Quote Char"/>
    <w:link w:val="801"/>
    <w:uiPriority w:val="30"/>
    <w:rPr>
      <w:i/>
    </w:rPr>
  </w:style>
  <w:style w:type="paragraph" w:styleId="803">
    <w:name w:val="Header"/>
    <w:basedOn w:val="953"/>
    <w:link w:val="8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4">
    <w:name w:val="Header Char"/>
    <w:link w:val="803"/>
    <w:uiPriority w:val="99"/>
  </w:style>
  <w:style w:type="paragraph" w:styleId="805">
    <w:name w:val="Footer"/>
    <w:basedOn w:val="953"/>
    <w:link w:val="80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06">
    <w:name w:val="Footer Char"/>
    <w:link w:val="805"/>
    <w:uiPriority w:val="99"/>
  </w:style>
  <w:style w:type="paragraph" w:styleId="807">
    <w:name w:val="Caption"/>
    <w:basedOn w:val="953"/>
    <w:next w:val="953"/>
    <w:link w:val="8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8">
    <w:name w:val="Caption Char"/>
    <w:basedOn w:val="807"/>
    <w:link w:val="805"/>
    <w:uiPriority w:val="99"/>
  </w:style>
  <w:style w:type="table" w:styleId="809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0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1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6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8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9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3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4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4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1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8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3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4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5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6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7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8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9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7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0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8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9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0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2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3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4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5">
    <w:name w:val="Hyperlink"/>
    <w:uiPriority w:val="99"/>
    <w:unhideWhenUsed/>
    <w:rPr>
      <w:color w:val="0000ff" w:themeColor="hyperlink"/>
      <w:u w:val="single"/>
    </w:rPr>
  </w:style>
  <w:style w:type="paragraph" w:styleId="936">
    <w:name w:val="footnote text"/>
    <w:basedOn w:val="953"/>
    <w:link w:val="937"/>
    <w:uiPriority w:val="99"/>
    <w:semiHidden/>
    <w:unhideWhenUsed/>
    <w:pPr>
      <w:spacing w:after="40" w:line="240" w:lineRule="auto"/>
    </w:pPr>
    <w:rPr>
      <w:sz w:val="18"/>
    </w:rPr>
  </w:style>
  <w:style w:type="character" w:styleId="937">
    <w:name w:val="Footnote Text Char"/>
    <w:link w:val="936"/>
    <w:uiPriority w:val="99"/>
    <w:rPr>
      <w:sz w:val="18"/>
    </w:rPr>
  </w:style>
  <w:style w:type="character" w:styleId="938">
    <w:name w:val="footnote reference"/>
    <w:uiPriority w:val="99"/>
    <w:unhideWhenUsed/>
    <w:rPr>
      <w:vertAlign w:val="superscript"/>
    </w:rPr>
  </w:style>
  <w:style w:type="paragraph" w:styleId="939">
    <w:name w:val="endnote text"/>
    <w:basedOn w:val="953"/>
    <w:link w:val="940"/>
    <w:uiPriority w:val="99"/>
    <w:semiHidden/>
    <w:unhideWhenUsed/>
    <w:pPr>
      <w:spacing w:after="0" w:line="240" w:lineRule="auto"/>
    </w:pPr>
    <w:rPr>
      <w:sz w:val="20"/>
    </w:rPr>
  </w:style>
  <w:style w:type="character" w:styleId="940">
    <w:name w:val="Endnote Text Char"/>
    <w:link w:val="939"/>
    <w:uiPriority w:val="99"/>
    <w:rPr>
      <w:sz w:val="20"/>
    </w:rPr>
  </w:style>
  <w:style w:type="character" w:styleId="941">
    <w:name w:val="endnote reference"/>
    <w:uiPriority w:val="99"/>
    <w:semiHidden/>
    <w:unhideWhenUsed/>
    <w:rPr>
      <w:vertAlign w:val="superscript"/>
    </w:rPr>
  </w:style>
  <w:style w:type="paragraph" w:styleId="942">
    <w:name w:val="toc 1"/>
    <w:basedOn w:val="953"/>
    <w:next w:val="953"/>
    <w:uiPriority w:val="39"/>
    <w:unhideWhenUsed/>
    <w:pPr>
      <w:ind w:left="0" w:right="0" w:firstLine="0"/>
      <w:spacing w:after="57"/>
    </w:pPr>
  </w:style>
  <w:style w:type="paragraph" w:styleId="943">
    <w:name w:val="toc 2"/>
    <w:basedOn w:val="953"/>
    <w:next w:val="953"/>
    <w:uiPriority w:val="39"/>
    <w:unhideWhenUsed/>
    <w:pPr>
      <w:ind w:left="283" w:right="0" w:firstLine="0"/>
      <w:spacing w:after="57"/>
    </w:pPr>
  </w:style>
  <w:style w:type="paragraph" w:styleId="944">
    <w:name w:val="toc 3"/>
    <w:basedOn w:val="953"/>
    <w:next w:val="953"/>
    <w:uiPriority w:val="39"/>
    <w:unhideWhenUsed/>
    <w:pPr>
      <w:ind w:left="567" w:right="0" w:firstLine="0"/>
      <w:spacing w:after="57"/>
    </w:pPr>
  </w:style>
  <w:style w:type="paragraph" w:styleId="945">
    <w:name w:val="toc 4"/>
    <w:basedOn w:val="953"/>
    <w:next w:val="953"/>
    <w:uiPriority w:val="39"/>
    <w:unhideWhenUsed/>
    <w:pPr>
      <w:ind w:left="850" w:right="0" w:firstLine="0"/>
      <w:spacing w:after="57"/>
    </w:pPr>
  </w:style>
  <w:style w:type="paragraph" w:styleId="946">
    <w:name w:val="toc 5"/>
    <w:basedOn w:val="953"/>
    <w:next w:val="953"/>
    <w:uiPriority w:val="39"/>
    <w:unhideWhenUsed/>
    <w:pPr>
      <w:ind w:left="1134" w:right="0" w:firstLine="0"/>
      <w:spacing w:after="57"/>
    </w:pPr>
  </w:style>
  <w:style w:type="paragraph" w:styleId="947">
    <w:name w:val="toc 6"/>
    <w:basedOn w:val="953"/>
    <w:next w:val="953"/>
    <w:uiPriority w:val="39"/>
    <w:unhideWhenUsed/>
    <w:pPr>
      <w:ind w:left="1417" w:right="0" w:firstLine="0"/>
      <w:spacing w:after="57"/>
    </w:pPr>
  </w:style>
  <w:style w:type="paragraph" w:styleId="948">
    <w:name w:val="toc 7"/>
    <w:basedOn w:val="953"/>
    <w:next w:val="953"/>
    <w:uiPriority w:val="39"/>
    <w:unhideWhenUsed/>
    <w:pPr>
      <w:ind w:left="1701" w:right="0" w:firstLine="0"/>
      <w:spacing w:after="57"/>
    </w:pPr>
  </w:style>
  <w:style w:type="paragraph" w:styleId="949">
    <w:name w:val="toc 8"/>
    <w:basedOn w:val="953"/>
    <w:next w:val="953"/>
    <w:uiPriority w:val="39"/>
    <w:unhideWhenUsed/>
    <w:pPr>
      <w:ind w:left="1984" w:right="0" w:firstLine="0"/>
      <w:spacing w:after="57"/>
    </w:pPr>
  </w:style>
  <w:style w:type="paragraph" w:styleId="950">
    <w:name w:val="toc 9"/>
    <w:basedOn w:val="953"/>
    <w:next w:val="953"/>
    <w:uiPriority w:val="39"/>
    <w:unhideWhenUsed/>
    <w:pPr>
      <w:ind w:left="2268" w:right="0" w:firstLine="0"/>
      <w:spacing w:after="57"/>
    </w:pPr>
  </w:style>
  <w:style w:type="paragraph" w:styleId="951">
    <w:name w:val="TOC Heading"/>
    <w:uiPriority w:val="39"/>
    <w:unhideWhenUsed/>
  </w:style>
  <w:style w:type="paragraph" w:styleId="952">
    <w:name w:val="table of figures"/>
    <w:basedOn w:val="953"/>
    <w:next w:val="953"/>
    <w:uiPriority w:val="99"/>
    <w:unhideWhenUsed/>
    <w:pPr>
      <w:spacing w:after="0" w:afterAutospacing="0"/>
    </w:pPr>
  </w:style>
  <w:style w:type="paragraph" w:styleId="953" w:default="1">
    <w:name w:val="Normal"/>
    <w:next w:val="953"/>
    <w:link w:val="953"/>
    <w:qFormat/>
    <w:pPr>
      <w:ind w:firstLine="709"/>
    </w:pPr>
    <w:rPr>
      <w:sz w:val="26"/>
      <w:lang w:val="ru-RU" w:eastAsia="ru-RU" w:bidi="ar-SA"/>
    </w:rPr>
  </w:style>
  <w:style w:type="character" w:styleId="954">
    <w:name w:val="Основной шрифт абзаца"/>
    <w:next w:val="954"/>
    <w:link w:val="953"/>
    <w:semiHidden/>
  </w:style>
  <w:style w:type="table" w:styleId="955">
    <w:name w:val="Обычная таблица"/>
    <w:next w:val="955"/>
    <w:link w:val="953"/>
    <w:semiHidden/>
    <w:tblPr/>
  </w:style>
  <w:style w:type="numbering" w:styleId="956">
    <w:name w:val="Нет списка"/>
    <w:next w:val="956"/>
    <w:link w:val="953"/>
    <w:semiHidden/>
  </w:style>
  <w:style w:type="paragraph" w:styleId="957">
    <w:name w:val="Основной текст"/>
    <w:basedOn w:val="953"/>
    <w:next w:val="953"/>
    <w:link w:val="953"/>
    <w:pPr>
      <w:ind w:firstLine="0"/>
      <w:jc w:val="both"/>
    </w:pPr>
    <w:rPr>
      <w:sz w:val="22"/>
    </w:rPr>
  </w:style>
  <w:style w:type="paragraph" w:styleId="958">
    <w:name w:val="Верхний колонтитул"/>
    <w:basedOn w:val="953"/>
    <w:next w:val="958"/>
    <w:link w:val="953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59">
    <w:name w:val="Нижний колонтитул"/>
    <w:basedOn w:val="953"/>
    <w:next w:val="959"/>
    <w:link w:val="953"/>
    <w:pPr>
      <w:tabs>
        <w:tab w:val="center" w:pos="4153" w:leader="none"/>
        <w:tab w:val="right" w:pos="8306" w:leader="none"/>
      </w:tabs>
    </w:pPr>
  </w:style>
  <w:style w:type="character" w:styleId="960">
    <w:name w:val="Номер страницы"/>
    <w:basedOn w:val="954"/>
    <w:next w:val="960"/>
    <w:link w:val="953"/>
  </w:style>
  <w:style w:type="paragraph" w:styleId="961">
    <w:name w:val="Название объекта"/>
    <w:basedOn w:val="953"/>
    <w:next w:val="953"/>
    <w:link w:val="953"/>
    <w:qFormat/>
    <w:pPr>
      <w:jc w:val="center"/>
    </w:pPr>
    <w:rPr>
      <w:b/>
      <w:sz w:val="28"/>
    </w:rPr>
  </w:style>
  <w:style w:type="paragraph" w:styleId="962">
    <w:name w:val="Основной текст 2"/>
    <w:basedOn w:val="953"/>
    <w:next w:val="962"/>
    <w:link w:val="953"/>
    <w:pPr>
      <w:ind w:right="5102" w:firstLine="0"/>
      <w:jc w:val="center"/>
      <w:spacing w:before="120"/>
    </w:pPr>
  </w:style>
  <w:style w:type="paragraph" w:styleId="963">
    <w:name w:val="Обращение"/>
    <w:basedOn w:val="953"/>
    <w:next w:val="953"/>
    <w:link w:val="953"/>
    <w:pPr>
      <w:ind w:firstLine="0"/>
      <w:jc w:val="center"/>
      <w:spacing w:before="240" w:after="120"/>
    </w:pPr>
    <w:rPr>
      <w:b/>
    </w:rPr>
  </w:style>
  <w:style w:type="paragraph" w:styleId="964">
    <w:name w:val="Адресные реквизиты"/>
    <w:basedOn w:val="957"/>
    <w:next w:val="957"/>
    <w:link w:val="953"/>
    <w:pPr>
      <w:jc w:val="left"/>
    </w:pPr>
    <w:rPr>
      <w:sz w:val="16"/>
    </w:rPr>
  </w:style>
  <w:style w:type="paragraph" w:styleId="965">
    <w:name w:val="Адресат"/>
    <w:basedOn w:val="953"/>
    <w:next w:val="965"/>
    <w:link w:val="953"/>
    <w:pPr>
      <w:ind w:firstLine="0"/>
      <w:spacing w:before="120"/>
    </w:pPr>
    <w:rPr>
      <w:b/>
    </w:rPr>
  </w:style>
  <w:style w:type="paragraph" w:styleId="966">
    <w:name w:val="Основной текст 3"/>
    <w:basedOn w:val="953"/>
    <w:next w:val="966"/>
    <w:link w:val="953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67" w:default="1">
    <w:name w:val="Default Paragraph Font"/>
    <w:uiPriority w:val="1"/>
    <w:semiHidden/>
    <w:unhideWhenUsed/>
  </w:style>
  <w:style w:type="numbering" w:styleId="968" w:default="1">
    <w:name w:val="No List"/>
    <w:uiPriority w:val="99"/>
    <w:semiHidden/>
    <w:unhideWhenUsed/>
  </w:style>
  <w:style w:type="table" w:styleId="96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>Администрация Томской области</Company>
  <DocSecurity>0</DocSecurity>
  <HyperlinksChanged>false</HyperlinksChanged>
  <ScaleCrop>false</ScaleCrop>
  <SharedDoc>false</SharedDoc>
  <Template>Постановление АТО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lsa</cp:lastModifiedBy>
  <cp:revision>43</cp:revision>
  <dcterms:created xsi:type="dcterms:W3CDTF">2009-07-23T06:40:00Z</dcterms:created>
  <dcterms:modified xsi:type="dcterms:W3CDTF">2025-11-06T03:03:35Z</dcterms:modified>
  <cp:version>917504</cp:version>
</cp:coreProperties>
</file>