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2270" w:type="dxa"/>
        <w:tblInd w:w="736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0"/>
      </w:tblGrid>
      <w:tr>
        <w:tblPrEx/>
        <w:trPr/>
        <w:tc>
          <w:tcPr>
            <w:tcBorders>
              <w:bottom w:val="none" w:color="000000" w:sz="4" w:space="0"/>
            </w:tcBorders>
            <w:tcW w:w="227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pStyle w:val="1097"/>
        <w:jc w:val="center"/>
        <w:spacing w:before="0" w:beforeAutospacing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97"/>
        <w:jc w:val="center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pStyle w:val="1097"/>
        <w:jc w:val="center"/>
        <w:spacing w:before="0" w:beforeAutospacing="0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Об утверждении порядка межведомственного взаимодействия, в том числе информационного взаимодействия участников системы долговременного ухода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pStyle w:val="10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97"/>
        <w:ind w:left="0" w:right="0" w:firstLine="709"/>
        <w:jc w:val="both"/>
        <w:tabs>
          <w:tab w:val="left" w:pos="993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соответствии с пунктом 1.4 Плана мероприятий («дорожной карты») по созданию системы долговременного ухода за гражданами пожилого возраста и инвалидами, нуждающимися в уходе, в Томской области в 2026 году, утвержденного постановлением Администрации Томской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области от 19.12.2025 № 576а «Об утверждении Плана мероприятий («дорожной карты») по созданию системы долговременного ухода за гражданами пожилого возраста и инвалидами, нуждающимися в уходе, в Томской области в 2026 году», 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</w:rPr>
      </w:r>
    </w:p>
    <w:p>
      <w:pPr>
        <w:pStyle w:val="1097"/>
        <w:ind w:left="709" w:firstLine="0"/>
        <w:jc w:val="both"/>
        <w:tabs>
          <w:tab w:val="left" w:pos="993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ПОСТАНОВЛЯЮ: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</w:rPr>
      </w:r>
    </w:p>
    <w:p>
      <w:pPr>
        <w:pStyle w:val="1097"/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Утвердить порядок межведомственного взаимодействия, в том числе информационного взаимодействия участников системы долговременного ухода, согласно приложению к настоящему постановлению.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</w:rPr>
      </w:r>
    </w:p>
    <w:p>
      <w:pPr>
        <w:pStyle w:val="1097"/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Настоящее постановление вступает в силу со дня его официального опубликования.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97"/>
        <w:ind w:left="0" w:right="0" w:firstLine="0"/>
        <w:jc w:val="lef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Председатель Правительства</w:t>
        <w:br/>
        <w:t xml:space="preserve">Томской области                                                                               А.В. Кондратьев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97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Назаревич О.Н.</w:t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9"/>
          <w:headerReference w:type="first" r:id="rId10"/>
          <w:footerReference w:type="first" r:id="rId14"/>
          <w:footnotePr/>
          <w:endnotePr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ind w:left="5669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Приложение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5669"/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постановлению правительства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Томской области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5669"/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от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 __________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№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pStyle w:val="1097"/>
        <w:jc w:val="center"/>
        <w:spacing w:before="48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Порядок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097"/>
        <w:jc w:val="center"/>
        <w:spacing w:after="24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межведомственного взаимодействия, в том числе информационного взаимодействия участников системы долговременного ухода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5"/>
        </w:numPr>
        <w:contextualSpacing w:val="0"/>
        <w:ind w:left="0" w:firstLine="0"/>
        <w:jc w:val="center"/>
        <w:spacing w:before="240" w:after="240" w:line="240" w:lineRule="auto"/>
        <w:tabs>
          <w:tab w:val="left" w:pos="28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Общие положения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6"/>
        </w:numPr>
        <w:ind w:left="0" w:firstLine="709"/>
        <w:jc w:val="both"/>
        <w:spacing w:beforeAutospacing="0" w:after="0" w:afterAutospacing="0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Порядок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межведомственного взаимодействия, в том числе информационного взаимодействия участников системы долговременного ухода (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далее – Порядок)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определяет процедуру межведомственного взаимодействия участников системы долговременного ухода за гражданами пожилого возраста и инвалидами, нуждающимися в уходе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(далее – СДУ)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при выявлении граждан пожилого возраста и инвалидов, нуждающихся в уходе (далее – граждане, нуждающиеся в уходе), при предоставлении гражданам,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нуждающимся в уходе,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признанным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нуждающимися в социальном обслуживании на дому, в том числе в социальных услугах по уходу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включенным в СДУ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(далее –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получатель услуг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по уходу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)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социальных услуг по уходу.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6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Перечень участников межведомственного взаимодействия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(далее – участники СДУ),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предусмотрен приложением № 1 к Порядку.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6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Перечень лиц, ответственных за реализацию СДУ, в медицинских организациях и организациях социального обслуживания Томской области, утверждается совместным распоряже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нием Департамента социальной защиты населения Томской области и Департамента здравоохранения Томской области.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6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Межведомственное взаимодействие осуществляется в ходе: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8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выявления граждан, нуждающихся в уходе;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8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предоставления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получателям услуг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 уходу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социального обслуживания, в том числе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социальных услуг по уходу.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5"/>
        </w:numPr>
        <w:contextualSpacing w:val="0"/>
        <w:ind w:left="0" w:right="11" w:firstLine="0"/>
        <w:jc w:val="center"/>
        <w:spacing w:before="240" w:after="240" w:line="240" w:lineRule="auto"/>
        <w:tabs>
          <w:tab w:val="left" w:pos="28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Формы взаимодействия участников СДУ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35"/>
        </w:numPr>
        <w:ind w:left="0" w:right="14" w:firstLine="709"/>
        <w:jc w:val="both"/>
        <w:spacing w:after="0" w:line="240" w:lineRule="auto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Межведомственное взаимодействия участников СДУ осуществляется в форме: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9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обмена документами и (или) информацией, в том числе в электронной форме;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9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 заключения соглашений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9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участия в работе межведомственной рабочей группы по созданию СДУ;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9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проведения совместных мероприятий, связанных с реализацией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олномочий в сфере социального и медицинского обслуживания.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35"/>
        </w:numPr>
        <w:ind w:left="0" w:right="106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Межведомственное взаимодействие участников СДУ осуществляется путем получения информации </w:t>
      </w:r>
      <w:r>
        <w:rPr>
          <w:rFonts w:ascii="PT Astra Serif" w:hAnsi="PT Astra Serif" w:eastAsia="PT Astra Serif" w:cs="PT Astra Serif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8255" cy="8255"/>
                <wp:effectExtent l="0" t="0" r="0" b="0"/>
                <wp:docPr id="2" name="Рисунок 9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3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8255" cy="8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0.65pt;height:0.65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8"/>
          <w:szCs w:val="28"/>
        </w:rPr>
        <w:t xml:space="preserve">(формирования запросов информации) о гражданах, нуждающихся в уходе,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получателях услуг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по уходу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по защищенным каналам связи в электронной форме, на бумажном носителе.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35"/>
        </w:numPr>
        <w:ind w:left="0" w:right="14" w:firstLine="709"/>
        <w:jc w:val="both"/>
        <w:spacing w:after="0" w:line="240" w:lineRule="auto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Межведомственное взаимодействие участников СДУ осуществляется в соответствии с требованиями Федерального закона от 27 июля 2006 года </w:t>
        <w:br/>
      </w:r>
      <w:r>
        <w:rPr>
          <w:rFonts w:ascii="PT Astra Serif" w:hAnsi="PT Astra Serif" w:eastAsia="PT Astra Serif" w:cs="PT Astra Serif"/>
          <w:sz w:val="28"/>
          <w:szCs w:val="28"/>
        </w:rPr>
        <w:t xml:space="preserve">№ 152-ФЗ «О персональных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данных»,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статьи 13 Федерального закона от 21 ноября 2011 года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№ 323-ФЗ «Об основах охраны 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8255" cy="8255"/>
                <wp:effectExtent l="0" t="0" r="0" b="0"/>
                <wp:docPr id="3" name="Рисунок 9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39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8255" cy="8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0.65pt;height:0.65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8"/>
          <w:szCs w:val="28"/>
        </w:rPr>
        <w:t xml:space="preserve">здоровья граждан в Российской Федерации», статьи 6 Федерального закона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от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28 декабря 2013 года № 442-ФЗ «Об основах социального обслуживания граждан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в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Российской Федерации».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14"/>
        </w:numPr>
        <w:contextualSpacing w:val="0"/>
        <w:ind w:left="0" w:right="11" w:firstLine="0"/>
        <w:jc w:val="center"/>
        <w:spacing w:before="240" w:after="240" w:line="240" w:lineRule="auto"/>
        <w:tabs>
          <w:tab w:val="left" w:pos="284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Выявление граждан, нуждающихся в уходе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41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Выявление граждан, нуждающихся в уходе, осуществляется: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12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медицински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ми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организация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ми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независимо от организационно-правовой формы, осуществляющи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в качестве основного (уставного) вида деятельности медицинскую деятельность на основании лицензии, выданной в порядке, установленном законодательством Российской Федерации о лицензировании отдельных видов деятельности, индивидуальны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предпринимател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ями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осуществляющи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медицинскую деятельность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участвующи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ми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в реализации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СДУ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(далее –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медицинские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организации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)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в ходе: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ind w:left="0" w:right="14" w:firstLine="709"/>
        <w:jc w:val="both"/>
        <w:spacing w:line="240" w:lineRule="auto"/>
        <w:tabs>
          <w:tab w:val="left" w:pos="993" w:leader="none"/>
        </w:tabs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оказания медицинской помощи в стационарных условиях;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pStyle w:val="933"/>
        <w:ind w:left="0" w:right="14" w:firstLine="709"/>
        <w:jc w:val="both"/>
        <w:spacing w:line="240" w:lineRule="auto"/>
        <w:tabs>
          <w:tab w:val="left" w:pos="993" w:leader="none"/>
        </w:tabs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оказания медицинской помощи в амбулаторных условиях, в том числе на дому при вызове медицинского работника;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pStyle w:val="933"/>
        <w:ind w:left="0" w:right="14" w:firstLine="709"/>
        <w:jc w:val="both"/>
        <w:spacing w:line="240" w:lineRule="auto"/>
        <w:tabs>
          <w:tab w:val="left" w:pos="993" w:leader="none"/>
        </w:tabs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проведения медицинских осмотров, диспансеризации и диспансерного наблюдения, осуществляемых в отношении определенных групп населения в соответствии с законодательством Российской Федерации;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pStyle w:val="933"/>
        <w:ind w:left="0" w:right="14" w:firstLine="709"/>
        <w:jc w:val="both"/>
        <w:spacing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посещения гражданином, нуждающимся в уходе, участкового врача или иного врача, проведении диагностических исследований и лечебных процедур в медицинских организациях;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12"/>
        </w:numPr>
        <w:ind w:left="0" w:right="14" w:firstLine="709"/>
        <w:jc w:val="both"/>
        <w:spacing w:line="240" w:lineRule="auto"/>
        <w:tabs>
          <w:tab w:val="left" w:pos="993" w:leader="none"/>
        </w:tabs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организациями социального обслуживания независимо от организационно-правовой формы, индивидуальными предпринимателями, осуществляющими социальное обслуживание, участвующими в реализации СДУ (далее – поставщик социальных услуг), в ходе: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pStyle w:val="933"/>
        <w:ind w:left="0" w:right="14" w:firstLine="709"/>
        <w:jc w:val="both"/>
        <w:spacing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проведени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опросов (анкетирования), поквартирных (подомовых) обходов;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contextualSpacing w:val="0"/>
        <w:ind w:left="0" w:right="11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обращени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граждан, нуждающихся в уходе, их законных представителей или иных лиц, действующих в интересах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граждан, нуждающихся в уходе,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том числе путем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подачи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заявления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о предостав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лении социального обслуживания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через федеральную государственную информационную систему «Единый портал государственных и муниципальных услуг (функций)».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pStyle w:val="933"/>
        <w:numPr>
          <w:ilvl w:val="0"/>
          <w:numId w:val="14"/>
        </w:numPr>
        <w:contextualSpacing w:val="0"/>
        <w:ind w:left="0" w:firstLine="0"/>
        <w:jc w:val="center"/>
        <w:spacing w:before="240" w:after="240" w:line="240" w:lineRule="auto"/>
        <w:tabs>
          <w:tab w:val="left" w:pos="28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Порядок межведомственного взаимодействия при выявлении граждан, нуждающихся в уходе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41"/>
        </w:numPr>
        <w:ind w:left="0" w:firstLine="709"/>
        <w:jc w:val="both"/>
        <w:spacing w:line="240" w:lineRule="auto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Медицинская организация: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36"/>
        </w:numPr>
        <w:ind w:left="0" w:firstLine="709"/>
        <w:jc w:val="both"/>
        <w:spacing w:line="240" w:lineRule="auto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ри проведении приема (осмотра) гражданина врачом-терапевтом, врачом терапевтом участковым, врачом общей практики (семейным врачом) или врачом-гериатром (далее – медицинский работник) при наличии признаков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нуждаемости гражданина в постороннем уходе проводит оценк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состояния по шкале реабилитационной маршрутизации для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форма которой предусмотре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приложением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№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2 к Порядку;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36"/>
        </w:numPr>
        <w:ind w:left="0" w:firstLine="709"/>
        <w:jc w:val="both"/>
        <w:spacing w:line="240" w:lineRule="auto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случае выявления по результатам проведения оценки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 шкале реабилитационной маршрутизации для СДУ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(далее –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шкала РМ СДУ)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граждан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ина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состояние котор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ого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оценивается от 4 до 6 баллов по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шкале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РМ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СДУ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(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далее –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гражданин, прошедший оценку)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срок не позднее одного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рабочего дня со дня получения от гражданина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прошедшего оценку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или его законного представителя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письменного согласия на обработку (передачу) персональных данных и письменного согласия на разглашение сведений, составляющих врачебную тайну,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направляет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в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ОГКУ «Центр социальной поддержки населения Ленинского района города Томска», в структуре которого создан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Территор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альный координационный центр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(далее – Территориальный координационный центр),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для решения вопроса о включении гражданина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прошедшего оценку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в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сведени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о гражданине, нуждающемся в уходе,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 форме согласно приложению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№ 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к Порядку.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ind w:left="0" w:firstLine="709"/>
        <w:jc w:val="both"/>
        <w:spacing w:line="240" w:lineRule="auto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Сведения о гражданине, нуждающемся в уходе, формируются медицинским работником медицинской организации с учетом результатов проведенных ранее: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профилактического осмотра и диспансеризации; 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требований диспансерного наблюдения;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ранее проведенных медицинских осмотров и консультаций, в том числе врачами-специалистами;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ind w:left="0" w:firstLine="709"/>
        <w:jc w:val="both"/>
        <w:spacing w:line="240" w:lineRule="auto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результатов недавнего стационарного лечения гражданина, нуждающегося в уходе, отраженных в выписном эпикризе.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36"/>
        </w:numPr>
        <w:contextualSpacing w:val="0"/>
        <w:ind w:left="0" w:right="11" w:firstLine="709"/>
        <w:jc w:val="both"/>
        <w:spacing w:after="0" w:line="240" w:lineRule="auto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срок не более двух рабочих дней со дня поступления в медицинскую организацию запроса о предоставлении сведений о гражданине, нуждающемся в уходе, направляет в Территориальный координационный центр сведения о гражданине, нуждающемся в уходе, по форме согла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сно приложению № 3 к Порядку.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41"/>
        </w:numPr>
        <w:ind w:left="0" w:firstLine="709"/>
        <w:jc w:val="both"/>
        <w:spacing w:line="240" w:lineRule="auto"/>
        <w:tabs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Поставщик социальных услуг: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39"/>
        </w:numPr>
        <w:ind w:left="0" w:firstLine="709"/>
        <w:jc w:val="both"/>
        <w:spacing w:line="240" w:lineRule="auto"/>
        <w:tabs>
          <w:tab w:val="left" w:pos="709" w:leader="none"/>
          <w:tab w:val="left" w:pos="993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срок не более одного рабочего дня со дня выявления (обращения) гражданина, нуждающегося в уходе,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передает в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Территориальный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координационный центр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информацию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гражданине, нуждающемся в уходе: фамилию, имя, отчество (последнее – при наличии) гражданина, нуждающегося в уходе, дату рождения, адрес места жительства или места пребывания, телефон)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39"/>
        </w:numPr>
        <w:ind w:left="0" w:firstLine="709"/>
        <w:jc w:val="both"/>
        <w:spacing w:line="240" w:lineRule="auto"/>
        <w:tabs>
          <w:tab w:val="left" w:pos="709" w:leader="none"/>
          <w:tab w:val="left" w:pos="993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срок не более одного рабочего дня со дня подписания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гражданином,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нуждающимся в уходе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или его законным представителем, договора о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предоставлении социальных услуг, информирует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Территориальный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координационный центр о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гражданин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нуждающ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им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ся в уходе,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в СДУ;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39"/>
        </w:numPr>
        <w:ind w:left="0" w:firstLine="709"/>
        <w:jc w:val="both"/>
        <w:spacing w:line="240" w:lineRule="auto"/>
        <w:tabs>
          <w:tab w:val="left" w:pos="709" w:leader="none"/>
          <w:tab w:val="left" w:pos="993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срок не более одного рабочего дня со дня расторжения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договора о предоставлении социальных услуг с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получателем услуг по уходу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или его законным представителем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информирует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Территориальный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координационный центр о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б исключении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получателя услуг по уходу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из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41"/>
        </w:numPr>
        <w:ind w:left="0" w:right="14" w:firstLine="709"/>
        <w:jc w:val="both"/>
        <w:spacing w:line="240" w:lineRule="auto"/>
        <w:tabs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Территориальный координационный центр: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38"/>
        </w:numPr>
        <w:ind w:left="0" w:right="14" w:firstLine="709"/>
        <w:jc w:val="both"/>
        <w:spacing w:line="240" w:lineRule="auto"/>
        <w:tabs>
          <w:tab w:val="left" w:pos="709" w:leader="none"/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в срок не более двух рабочих дней со дня поступления информации о гражданине, нуждающемся в уходе, направляет в медицинскую организацию запрос о предоставлении сведений о гражданине, нуждающемся в уходе;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38"/>
        </w:numPr>
        <w:ind w:left="0" w:right="14" w:firstLine="709"/>
        <w:jc w:val="both"/>
        <w:spacing w:line="240" w:lineRule="auto"/>
        <w:tabs>
          <w:tab w:val="left" w:pos="709" w:leader="none"/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срок не более пяти рабочих дней со дня поступления информации о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гражданине, нуждающемся в уходе: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ind w:left="0" w:right="14" w:firstLine="709"/>
        <w:jc w:val="both"/>
        <w:spacing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информирует гражданина, нуждающегося в уходе, или его законного представителя о принятом решении и передает ему оригиналы индивидуальной программы предоставления социальных услуг (далее – ИППСУ) и дополнения к ИППСУ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ind w:left="0" w:right="14" w:firstLine="709"/>
        <w:jc w:val="both"/>
        <w:spacing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нформирует поставщика социальных услуг о получателе услуг по уходу и передает поставщику копию анкеты-опросника для определения индивидуальной потребности гражданина в социальном обслуживании, в том числе в социальных услугах по уходу, копии ИППСУ и дополн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ения к ИППСУ, заверенные в установленном порядке, копию сведений о гражданине, нуждающемся в уходе, по форме согласно приложению № 3 к Порядку, полученную от медицинской организации, заверенную в установленном порядке;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40"/>
        </w:numPr>
        <w:ind w:left="0" w:right="14" w:firstLine="709"/>
        <w:jc w:val="both"/>
        <w:spacing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срок не более одного рабочего дня со дня поступления информации о включении гражданина, нуждающегося в уходе, в СДУ направляет в медицинскую организацию уведомление о включении гражданина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нуждающегося в уходе,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в СДУ. В случае отказа гражданина, нуждающегося в уходе, или его законного пред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ставителя от включения в СДУ, в срок не более одного рабочего дня со дня оформления отказа гражданина, нуждающегося в уходе, от включения в СДУ направляет в медицинскую организацию уведомление об отказе гражданина, нуждающегося в уходе, от включения в СДУ;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40"/>
        </w:numPr>
        <w:ind w:left="0" w:firstLine="709"/>
        <w:jc w:val="both"/>
        <w:spacing w:after="0" w:line="240" w:lineRule="auto"/>
        <w:tabs>
          <w:tab w:val="left" w:pos="851" w:leader="none"/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срок не более одного рабочего дня со дня получения информации об исключении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получателя услуг по уходу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из СДУ информирует медицинскую организацию об исключении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получателя услуг по уходу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из СДУ.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22"/>
        </w:numPr>
        <w:contextualSpacing w:val="0"/>
        <w:ind w:left="0" w:firstLine="0"/>
        <w:jc w:val="center"/>
        <w:spacing w:before="240" w:after="240" w:line="240" w:lineRule="auto"/>
        <w:tabs>
          <w:tab w:val="left" w:pos="28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Межведомственное взаимодействие при предоставлении получателям услуг по уходу социального обслуживания, в том числе социальных услуг по уходу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46"/>
        </w:numPr>
        <w:ind w:left="0" w:right="14" w:firstLine="709"/>
        <w:jc w:val="both"/>
        <w:spacing w:after="0" w:line="240" w:lineRule="auto"/>
        <w:tabs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Поставщик социальных услуг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при установлении признаков ухудшения здоровья получателя услуг по уходу в срок не более одного рабо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чего дня со дня установления признаков ухудшения здоровья получателя услуг по уходу передает информацию в медицинскую организацию, а в случае резкого ухудшения состояния здоровья получателя услуг по уходу незамедлительно вызывает скорую медицинскую помощь.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46"/>
        </w:numPr>
        <w:ind w:left="0" w:right="14" w:firstLine="709"/>
        <w:jc w:val="both"/>
        <w:spacing w:after="0" w:line="240" w:lineRule="auto"/>
        <w:tabs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Территориальный координационный центр в срок не менее пяти рабочих дней до дня пересмотра получателю услуг по уходу ИППСУ и дополнения к ИППСУ направляет в медицинскую организацию запрос о предоставлении сведений о гражданине, нуждающемся в уходе.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46"/>
        </w:numPr>
        <w:ind w:right="14" w:hanging="720"/>
        <w:jc w:val="both"/>
        <w:spacing w:after="0" w:line="240" w:lineRule="auto"/>
        <w:tabs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Медицинская организация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: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11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 поступлении сведений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от поставщика социальных услуг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об ухудшении состояния здоровья получателя услуг по уходу организует оказание необходимой медицинской помощи, в том числе в очном, дистанционном формате, при наличии показаний – в стационарных условиях;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11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 ухудшении состояния здоровья получателя услуг по уходу в срок не более одного рабочего дня со дня поступления сведений об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ухудшении состояния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здоровья получателя услуг по уходу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от поставщика социальных услуг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направля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ет поставщику социальных услуг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сведения о гражданине, нуждающемся в уходе,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 форме согласно приложению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№ 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к Порядку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3"/>
        <w:numPr>
          <w:ilvl w:val="0"/>
          <w:numId w:val="11"/>
        </w:numPr>
        <w:ind w:left="0" w:right="14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срок не более двух рабочих дней со дня поступления из Территориального координационного центра в медицинскую организацию запроса о предоставлении сведений о гражданине, нуждающемся в уходе, направляет в Территориальный координационный центр сведения о гра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жданине, нуждающемся в уходе, по форме согласно приложению № 3 к Порядку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br w:type="page" w:clear="all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tbl>
      <w:tblPr>
        <w:tblStyle w:val="947"/>
        <w:tblW w:w="0" w:type="auto"/>
        <w:tblInd w:w="524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88"/>
      </w:tblGrid>
      <w:tr>
        <w:tblPrEx/>
        <w:trPr/>
        <w:tc>
          <w:tcPr>
            <w:tcW w:w="4388" w:type="dxa"/>
            <w:textDirection w:val="lrTb"/>
            <w:noWrap w:val="false"/>
          </w:tcPr>
          <w:p>
            <w:pPr>
              <w:pStyle w:val="1102"/>
              <w:spacing w:beforeAutospacing="0" w:after="0" w:afterAutospacing="0"/>
              <w:tabs>
                <w:tab w:val="left" w:pos="993" w:leader="none"/>
                <w:tab w:val="left" w:pos="1134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Приложение № 1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1102"/>
              <w:spacing w:beforeAutospacing="0" w:after="0" w:afterAutospacing="0"/>
              <w:tabs>
                <w:tab w:val="left" w:pos="993" w:leader="none"/>
                <w:tab w:val="left" w:pos="1134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орядку межведомственного взаимодействия, в том числе информационного взаимодействия участников системы долговременного ухода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pStyle w:val="1102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jc w:val="center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Перечень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jc w:val="center"/>
        <w:spacing w:beforeAutospacing="0" w:after="24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участников межведомственного взаимодействия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системы долговременного ухода за гражданами пожилого возраста и инвалидами, нуждающимися в уходе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ОГАУ 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Комплексный центр социального обслуживания населения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ЗАТО Северск»;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ОГАУ «Комплексный центр социального обслуживания населения Томской области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ОГБУЗ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Городская клиническая больница № 1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ОГАУЗ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Больница № 2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ОГАУЗ «Городская клиническая больница № 3 им. Б.И.Альперовича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ОГАУЗ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Лоскутовская районная поликлиника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ОГАУЗ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Медико-санитарная часть «Строитель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ОГАУЗ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Межвузовская поликлиника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ОГАУЗ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Моряковская участковая больница им. В.С.Демьянова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ОГАУЗ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Поликлиника № 4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ОГАУЗ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Поликлиника № 10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ОГАУЗ Поликлиника Томского научного центра Сибирского отделения Российской академии наук;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ОГАУЗ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Светленская районная больница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ОГАУЗ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Томская районная больница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102"/>
        <w:numPr>
          <w:ilvl w:val="0"/>
          <w:numId w:val="45"/>
        </w:numPr>
        <w:ind w:left="0" w:right="0" w:firstLine="709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ОГКУ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Центр социальной поддержки населения Ленинского района города Томска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pStyle w:val="1102"/>
        <w:jc w:val="both"/>
        <w:spacing w:beforeAutospacing="0" w:after="0" w:afterAutospacing="0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br w:type="page" w:clear="all"/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Style w:val="947"/>
        <w:tblW w:w="0" w:type="auto"/>
        <w:tblInd w:w="524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88"/>
      </w:tblGrid>
      <w:tr>
        <w:tblPrEx/>
        <w:trPr/>
        <w:tc>
          <w:tcPr>
            <w:tcW w:w="4388" w:type="dxa"/>
            <w:textDirection w:val="lrTb"/>
            <w:noWrap w:val="false"/>
          </w:tcPr>
          <w:p>
            <w:pPr>
              <w:pStyle w:val="1102"/>
              <w:spacing w:beforeAutospacing="0" w:after="0" w:afterAutospacing="0"/>
              <w:tabs>
                <w:tab w:val="left" w:pos="993" w:leader="none"/>
                <w:tab w:val="left" w:pos="1134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Приложение № 2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орядку межведомственного взаимодействия, в том числе информационного взаимодействия участников системы долговременного ухода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Ш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кала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240"/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реабилитационной маршрутизации для системы долговременного ухода 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W w:w="9629" w:type="dxa"/>
        <w:tblInd w:w="7" w:type="dxa"/>
        <w:tblCellMar>
          <w:left w:w="104" w:type="dxa"/>
          <w:top w:w="53" w:type="dxa"/>
          <w:right w:w="113" w:type="dxa"/>
        </w:tblCellMar>
        <w:tblLook w:val="04A0" w:firstRow="1" w:lastRow="0" w:firstColumn="1" w:lastColumn="0" w:noHBand="0" w:noVBand="1"/>
      </w:tblPr>
      <w:tblGrid>
        <w:gridCol w:w="2464"/>
        <w:gridCol w:w="7165"/>
      </w:tblGrid>
      <w:tr>
        <w:tblPrEx/>
        <w:trPr>
          <w:trHeight w:val="1303"/>
        </w:trPr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Значение показателя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шкалы реабилитационной маршрутизации для системы долговременного ухода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(баллы)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1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Описание состояния функционирования и ограничения жизнедеятельности (функции и структуры организма, активность и участие пациента)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968"/>
        </w:trPr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16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Отсутствие нарушений функционирования и ограничения жизнедеятельности.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Функции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структуры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организма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сохранены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полностью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3223"/>
        </w:trPr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16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Отсутствие проявлений нарушений функционирования и ограничения жизнедеятельности при наличии симптомов заболевания: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а) может вернуться к прежнему образу жизни (работа, обучение, другое), поддерживать прежний уровень активности и социальной жизни;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б) тратит столько же времени на выполнение дел как и до болезни;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в) может выполнять физическую нагрузку выше обычной без слабости, сердцебиения, одышки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2953"/>
        </w:trPr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16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Легкое нарушение функционирования и ограничение жизнедеятельности: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а) не может выполнять виды деятельности (управление транспортным средством, чтение, письмо, танцы, работа и другие) с той степенью активности, которая была до болезни, но может справляться с ними без посторонней помощи;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б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) обычная физическая нагрузка не вызывает выраженного утомления, слабости, одышки или сердцебиения. Стенокардия развивается при значительном, ускоренном или особо длительном напряжении (усилии). Тест шестиминутной ходьбы (далее - ТШМ) &gt; 425 м. Тесты с физи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ческой нагрузкой (велоэргометрия или спироэргометрия) Вт, МЕ;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в) может самостоятельно себя обслуживать (сам одевается и небольшие путешествия и переезды, самостоятельно передвигается);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раздевается, ходит в магазин, готовит еду, может совершать;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г) не нуждается в наблюдении;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spacing w:line="240" w:lineRule="auto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д) может проживать один дома от недели и более без посторонней помощи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5459"/>
        </w:trPr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16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Умеренное нарушение функционирования и ограничение жизнедеятельности: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а) может передвигаться самостоятельно без посторонней помощи;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б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) патологические симптомы в покое отсутствуют, обычная физическая нагрузка вызывает слабость, утомляемость, сердцебиение, одышку, стенокардия развивается при ходьбе на расстояние &gt; 500 м по ровной местности, при подъеме на &gt; 1 пролет обычных ступенек в сре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днем темпе в нормальных условиях. ТШМ = 301 - 425 м. Тесты с физической нагрузкой (велоэргометрия /спироэргометрия) = 75 - 100 Вт/4 - 6,9 МЕ;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в) самостоятельно одевается, раздевается, ходит в туалет, ест и выполняет другие виды повседневной активности;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г) нуждается в посторонней помощи при выполнении сложных видов активности: приготовление пищи, уборке дома, похода в магазин за покупками;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д) может проживать один дома без посторонней помощи от суток до 1 недели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4232"/>
        </w:trPr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16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Выраженное нарушение функционирования и ограничение жизнедеятельности: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а) умеренное ограничение возможностей передвижения;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б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) стенокардия возникает при ходьбе от 100 до 500 м по ровной местности, при подъеме на 1 пролет обычных ступенек в среднем темпе в нормальных условиях. ТШМ = 150 - 300 м, тесты с физической нагрузкой (велоэргометрия /спироэргометрия) 25 - 50 Вт/2 - 3,9 МЕ;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в) нуждается в посторонней помощи при выполнении повседневных задач: одевание, раздевание, туалет, прием пищи и других;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г) в обычной жизни нуждается в ухаживающем;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д) может проживать один дома без посторонней помощи до суток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655"/>
        </w:trPr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16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Грубое нарушение функционирования и ограничение жизнедеятельности: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а) больной комфортно чувствует себя только в состоянии покоя, минимальные физические нагрузки приводят к появлению слабости, сердцебиения, одышки, болям в сердце. ТШМ &lt; 150 м;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б) не может передвигаться самостоятельно без посторонней помощи;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в) нуждается в постоянном внимании, помощи при выполнении всех повседневных задач: одевание, раздевание, туалет, прием пищи и других;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г) круглосуточно нуждается в уходе;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д) не может быть оставлен один дома без посторонней помощи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655"/>
        </w:trPr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shd w:val="clear" w:color="auto" w:fill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16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Нарушение функционирования и ограничение жизнедеятельности крайней степени тяжести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ectPr>
          <w:headerReference w:type="default" r:id="rId11"/>
          <w:headerReference w:type="first" r:id="rId12"/>
          <w:footnotePr/>
          <w:endnotePr/>
          <w:type w:val="nextPage"/>
          <w:pgSz w:w="11907" w:h="16840" w:orient="portrait"/>
          <w:pgMar w:top="1134" w:right="851" w:bottom="1134" w:left="1418" w:header="737" w:footer="284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Style w:val="947"/>
        <w:tblW w:w="0" w:type="auto"/>
        <w:tblInd w:w="524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88"/>
      </w:tblGrid>
      <w:tr>
        <w:tblPrEx/>
        <w:trPr/>
        <w:tc>
          <w:tcPr>
            <w:tcW w:w="438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Приложение № 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  <w:p>
            <w:pPr>
              <w:tabs>
                <w:tab w:val="left" w:pos="7088" w:leader="none"/>
              </w:tabs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к порядку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межведомственного взаимодействия, в том числе информационного взаимодействия участников системы долговременного ухода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</w:tr>
    </w:tbl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Форма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</w:r>
      <w:r>
        <w:rPr>
          <w:rFonts w:ascii="PT Astra Serif" w:hAnsi="PT Astra Serif" w:cs="PT Astra Serif"/>
          <w:color w:val="000000"/>
          <w:sz w:val="28"/>
          <w:szCs w:val="28"/>
        </w:rPr>
      </w:r>
    </w:p>
    <w:tbl>
      <w:tblPr>
        <w:tblStyle w:val="947"/>
        <w:tblW w:w="0" w:type="auto"/>
        <w:tblInd w:w="4673" w:type="dxa"/>
        <w:tblLook w:val="04A0" w:firstRow="1" w:lastRow="0" w:firstColumn="1" w:lastColumn="0" w:noHBand="0" w:noVBand="1"/>
      </w:tblPr>
      <w:tblGrid>
        <w:gridCol w:w="4955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495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Руководителю ОГКУ «Центр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95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социальной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поддержки населения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95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Ленинского района города Томска»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5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(наименование 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организации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95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5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(фамилия, имя, отчество (последнее – при наличии) руководителя ОГКУ «Центр социальной поддержки населения Ленинского района города Томска»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95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5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(фамилия, имя, отчество (последнее – при наличии) главного врача медицинской организации)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495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5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(наименование медицинской организации)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</w:tbl>
    <w:p>
      <w:pPr>
        <w:jc w:val="center"/>
        <w:spacing w:after="12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Сведения о гражданине, нуждающемся в уходе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Style w:val="947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6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(фамилия, имя, отчество (последнее – при наличии) гражданина, нуждающегося в уходе, СНИЛС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(паспортные данные)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96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адрес места жительства или места пребывания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, телефон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490"/>
        <w:gridCol w:w="5149"/>
      </w:tblGrid>
      <w:tr>
        <w:tblPrEx/>
        <w:trPr>
          <w:trHeight w:val="1"/>
        </w:trPr>
        <w:tc>
          <w:tcPr>
            <w:gridSpan w:val="2"/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Медицинские р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екомендации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Прием лекарственных препаратов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(наименование лекарственного препарата, дата назначения, лекарственная форма, дозировка, способ введения, кратность и время приема, особенности приема (например, после еды обильно запивая водой, растворять в воде, растирать таблетки в порошок</w:t>
            </w:r>
            <w:r>
              <w:rPr>
                <w:rFonts w:ascii="PT Astra Serif" w:hAnsi="PT Astra Serif" w:eastAsia="PT Astra Serif" w:cs="PT Astra Serif"/>
              </w:rPr>
              <w:t xml:space="preserve">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tabs>
                <w:tab w:val="left" w:pos="549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Соблюдение питьевого режима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(в соответствии с требованиями клинических рекомендаций по ведению взрослых пациентов с соматическими заболеваниями, приказом Министерства здравоохранения Российской Федерации от 05.08.2003 №</w:t>
            </w:r>
            <w:r>
              <w:rPr>
                <w:rFonts w:ascii="PT Astra Serif" w:hAnsi="PT Astra Serif" w:eastAsia="PT Astra Serif" w:cs="PT Astra Serif"/>
              </w:rPr>
              <w:t xml:space="preserve"> 330 «О мерах по совершенствованию лечебного питания в лечебно-про</w:t>
            </w:r>
            <w:r>
              <w:rPr>
                <w:rFonts w:ascii="PT Astra Serif" w:hAnsi="PT Astra Serif" w:eastAsia="PT Astra Serif" w:cs="PT Astra Serif"/>
              </w:rPr>
              <w:t xml:space="preserve">филактических учреждениях Российской Федерации») (рекомендуемое количество жидкости)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tabs>
                <w:tab w:val="left" w:pos="510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Соблюдение диеты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(</w:t>
            </w:r>
            <w:r>
              <w:rPr>
                <w:rFonts w:ascii="PT Astra Serif" w:hAnsi="PT Astra Serif" w:eastAsia="PT Astra Serif" w:cs="PT Astra Serif"/>
              </w:rPr>
              <w:t xml:space="preserve">назначение диеты с учетом текущего клинического состояния гражданина, нуждающегося в уходе, в соответствии с требованиями клинических рекомендаций по ведению взрослых пациентов с соматическими заболеваниями, приказом Министерства здравоохранения Российской</w:t>
            </w:r>
            <w:r>
              <w:rPr>
                <w:rFonts w:ascii="PT Astra Serif" w:hAnsi="PT Astra Serif" w:eastAsia="PT Astra Serif" w:cs="PT Astra Serif"/>
              </w:rPr>
              <w:t xml:space="preserve"> Федерации от 05.08.2003 № 330 «О мерах по совершенствованию лечебного питания в лечебно-профилактических учреждениях Российской Федерации») (рекомендуемые (запрещенные) продукты, кратность приема пищи)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tabs>
                <w:tab w:val="left" w:pos="529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Соблюдение двигательного режима и физической активности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(перечень упражнений, периодичность, длительность, объем выполнения упражнений)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Профилактика пролежней и застойных явлений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</w:rPr>
              <w:t xml:space="preserve">(кратность и методика позиционирования, рекомендуемые противопролежневые технические средства реабилитации)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tabs>
                <w:tab w:val="left" w:pos="467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gridSpan w:val="2"/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9" w:type="dxa"/>
            <w:textDirection w:val="lrTb"/>
            <w:noWrap w:val="false"/>
          </w:tcPr>
          <w:p>
            <w:pPr>
              <w:ind w:left="90" w:firstLine="3"/>
              <w:widowControl w:val="off"/>
              <w:tabs>
                <w:tab w:val="left" w:pos="467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Соблюдение иных медицинских рекомендаций, в том числе: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змерение температуры тела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(значение нормы температуры тела, кратность термометрии, препараты для снижения (повышения) температуры)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tabs>
                <w:tab w:val="left" w:pos="549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змерение артериального давления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(значение нормы артериального давления, кратность измерения уровня артериального давления, лекарственные препараты для снижения (повышения) артериального давления)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tabs>
                <w:tab w:val="left" w:pos="549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змерение частоты сердечных сокращений (пульс)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(</w:t>
            </w:r>
            <w:r>
              <w:rPr>
                <w:rFonts w:ascii="PT Astra Serif" w:hAnsi="PT Astra Serif" w:eastAsia="PT Astra Serif" w:cs="PT Astra Serif"/>
              </w:rPr>
              <w:t xml:space="preserve">значение нормы частоты сердечных сокращений, кратность определения частоты сердечных сокращений, лекарственные препараты для снижения (повышения) частоты сердечных сокращений). Указать, что определение проводится полностью автоматическим тонометром в соотв</w:t>
            </w:r>
            <w:r>
              <w:rPr>
                <w:rFonts w:ascii="PT Astra Serif" w:hAnsi="PT Astra Serif" w:eastAsia="PT Astra Serif" w:cs="PT Astra Serif"/>
              </w:rPr>
              <w:t xml:space="preserve">етствии с требованиями Приложений В и Г1 клинических рекомендаций «Артериальная гипертензия у взрослых», размещенных на рубрикаторе Минздрава России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(www.cr.minzdrav.gov.ru/recomend/62_2)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tabs>
                <w:tab w:val="left" w:pos="549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змерение уровня глюкозы крови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:highlight w:val="none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(значение нормы уровня глюкозы крови, кратность определения уровня глюкозы крови, лекарственные препараты для снижения (повышения) уровня глюкозы крови)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tabs>
                <w:tab w:val="left" w:pos="472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змерение насыщения крови кислородом (сатурация)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(значение нормы насыщения крови кислородом, кратность оценки </w:t>
            </w:r>
            <w:r>
              <w:rPr>
                <w:rFonts w:ascii="PT Astra Serif" w:hAnsi="PT Astra Serif" w:eastAsia="PT Astra Serif" w:cs="PT Astra Serif"/>
              </w:rPr>
              <w:t xml:space="preserve">определения насыщения крови кислородом)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tabs>
                <w:tab w:val="left" w:pos="549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смотр кожных покровов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(кратность оценки состояния кожных покровов, особенности ухода (например, при появлении пролежней использовать крем, мазь, раствор)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/>
              <w:widowControl w:val="off"/>
              <w:tabs>
                <w:tab w:val="left" w:pos="467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Фиксация наличия болей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:highlight w:val="none"/>
              </w:rPr>
            </w:r>
          </w:p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(лекарственные препараты для купирования болевого синдрома)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tabs>
                <w:tab w:val="left" w:pos="549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Фиксация работы органов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малого таза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:highlight w:val="none"/>
              </w:rPr>
            </w:r>
          </w:p>
          <w:p>
            <w:pPr>
              <w:widowControl w:val="off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  <w:t xml:space="preserve">(лекарственные препараты при задержке стула и (или) иные медицинские рекомендации)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>
          <w:trHeight w:val="1"/>
        </w:trPr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9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Иные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медицинские рекомендации, включая описание последовательности действий лица, осуществляющего уход, отклонения и иные факторы, влияющие на результат ухода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both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(дата и вид назначений, условия исполнения назначений, какие манипуляции предусмотрены, их частота и периодичность, рекомендации по когнитивному тренингу, социализации гражданина, нуждающегося в уходе)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49" w:type="dxa"/>
            <w:textDirection w:val="lrTb"/>
            <w:noWrap w:val="false"/>
          </w:tcPr>
          <w:p>
            <w:pPr>
              <w:ind w:left="90" w:firstLine="3"/>
              <w:widowControl w:val="off"/>
              <w:tabs>
                <w:tab w:val="left" w:pos="549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Style w:val="947"/>
        <w:tblW w:w="0" w:type="auto"/>
        <w:tblLook w:val="04A0" w:firstRow="1" w:lastRow="0" w:firstColumn="1" w:lastColumn="0" w:noHBand="0" w:noVBand="1"/>
      </w:tblPr>
      <w:tblGrid>
        <w:gridCol w:w="2749"/>
        <w:gridCol w:w="277"/>
        <w:gridCol w:w="4443"/>
        <w:gridCol w:w="282"/>
        <w:gridCol w:w="188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9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4" w:type="dxa"/>
            <w:textDirection w:val="lrTb"/>
            <w:noWrap w:val="false"/>
          </w:tcPr>
          <w:p>
            <w:pPr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0" w:type="dxa"/>
            <w:textDirection w:val="lrTb"/>
            <w:noWrap w:val="false"/>
          </w:tcPr>
          <w:p>
            <w:pPr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1978" w:type="dxa"/>
            <w:textDirection w:val="lrTb"/>
            <w:noWrap w:val="false"/>
          </w:tcPr>
          <w:p>
            <w:pPr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43" w:type="dxa"/>
            <w:textDirection w:val="lrTb"/>
            <w:noWrap w:val="false"/>
          </w:tcPr>
          <w:p>
            <w:pPr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(должность медицинского работника, составившего медицинские рекомендации)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4" w:type="dxa"/>
            <w:textDirection w:val="lrTb"/>
            <w:noWrap w:val="false"/>
          </w:tcPr>
          <w:p>
            <w:pPr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(фамилия, имя, отчество (последнее - при наличии)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0" w:type="dxa"/>
            <w:textDirection w:val="lrTb"/>
            <w:noWrap w:val="false"/>
          </w:tcPr>
          <w:p>
            <w:pPr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78" w:type="dxa"/>
            <w:textDirection w:val="lrTb"/>
            <w:noWrap w:val="false"/>
          </w:tcPr>
          <w:p>
            <w:pPr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(подпись)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</w:tbl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Ind w:w="0" w:type="dxa"/>
        <w:tblBorders>
          <w:insideH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025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4025" w:type="dxa"/>
            <w:textDirection w:val="lrTb"/>
            <w:noWrap w:val="false"/>
          </w:tcPr>
          <w:p>
            <w:pPr>
              <w:shd w:val="nil" w:color="auto"/>
              <w:rPr>
                <w:rFonts w:ascii="PT Astra Serif" w:hAnsi="PT Astra Serif" w:cs="PT Astra Serif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lang w:val="en-US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  <w14:ligatures w14:val="none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025" w:type="dxa"/>
            <w:textDirection w:val="lrTb"/>
            <w:noWrap w:val="false"/>
          </w:tcPr>
          <w:p>
            <w:pPr>
              <w:contextualSpacing w:val="0"/>
              <w:jc w:val="center"/>
              <w:spacing w:after="0" w:afterAutospacing="0"/>
              <w:shd w:val="nil" w:color="auto"/>
              <w:rPr>
                <w:rFonts w:ascii="PT Astra Serif" w:hAnsi="PT Astra Serif" w:cs="PT Astra Serif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lang w:val="ru-RU"/>
              </w:rPr>
              <w:t xml:space="preserve">(телефон)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  <w14:ligatures w14:val="none"/>
              </w:rPr>
            </w:r>
          </w:p>
        </w:tc>
      </w:tr>
    </w:tbl>
    <w:p>
      <w:pPr>
        <w:tabs>
          <w:tab w:val="left" w:pos="708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sectPr>
      <w:headerReference w:type="default" r:id="rId13"/>
      <w:footnotePr/>
      <w:endnotePr/>
      <w:type w:val="nextPage"/>
      <w:pgSz w:w="11907" w:h="16840" w:orient="portrait"/>
      <w:pgMar w:top="1134" w:right="851" w:bottom="1134" w:left="1418" w:header="737" w:footer="284" w:gutter="0"/>
      <w:pgNumType w:start="1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3</w:t>
    </w:r>
    <w:r>
      <w:rPr>
        <w:rFonts w:ascii="PT Astra Serif" w:hAnsi="PT Astra Serif"/>
        <w:b w:val="0"/>
        <w:szCs w:val="28"/>
      </w:rPr>
      <w:fldChar w:fldCharType="end"/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26"/>
        <w:szCs w:val="26"/>
      </w:rPr>
    </w:pPr>
    <w:r>
      <w:rPr>
        <w:rFonts w:ascii="PT Astra Serif" w:hAnsi="PT Astra Serif"/>
      </w:rPr>
    </w: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3130680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49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/>
        <w:b/>
        <w:sz w:val="26"/>
        <w:szCs w:val="26"/>
      </w:rPr>
    </w:r>
    <w:r>
      <w:rPr>
        <w:rFonts w:ascii="PT Astra Serif" w:hAnsi="PT Astra Serif" w:cs="PT Astra Serif"/>
        <w:b/>
        <w:sz w:val="26"/>
        <w:szCs w:val="26"/>
      </w:rPr>
    </w:r>
  </w:p>
  <w:p>
    <w:pPr>
      <w:pStyle w:val="943"/>
      <w:spacing w:before="240" w:after="0"/>
    </w:pPr>
    <w:r>
      <w:rPr>
        <w:rFonts w:ascii="PT Astra Serif" w:hAnsi="PT Astra Serif"/>
        <w:spacing w:val="20"/>
        <w:sz w:val="30"/>
        <w:szCs w:val="30"/>
      </w:rPr>
      <w:t xml:space="preserve">Правительство ТОМСКОЙ ОБЛАСТИ</w:t>
    </w:r>
    <w:r>
      <w:rPr>
        <w:rFonts w:ascii="PT Astra Serif" w:hAnsi="PT Astra Serif"/>
        <w:spacing w:val="20"/>
      </w:rPr>
    </w:r>
    <w:r/>
  </w:p>
  <w:p>
    <w:pPr>
      <w:pStyle w:val="943"/>
      <w:spacing w:before="240" w:after="0"/>
      <w:rPr>
        <w:rFonts w:ascii="PT Astra Serif" w:hAnsi="PT Astra Serif"/>
        <w:spacing w:val="20"/>
        <w:highlight w:val="none"/>
      </w:rPr>
    </w:pPr>
    <w:r>
      <w:rPr>
        <w:rFonts w:ascii="PT Astra Serif" w:hAnsi="PT Astra Serif"/>
        <w:spacing w:val="20"/>
        <w:sz w:val="28"/>
        <w:szCs w:val="28"/>
      </w:rPr>
      <w:t xml:space="preserve">постановление</w:t>
    </w:r>
    <w:r>
      <w:rPr>
        <w:rFonts w:ascii="PT Astra Serif" w:hAnsi="PT Astra Serif"/>
        <w:spacing w:val="20"/>
        <w:highlight w:val="none"/>
      </w:rPr>
    </w:r>
    <w:r>
      <w:rPr>
        <w:rFonts w:ascii="PT Astra Serif" w:hAnsi="PT Astra Serif"/>
        <w:spacing w:val="20"/>
        <w:highlight w:val="none"/>
      </w:rPr>
    </w:r>
  </w:p>
  <w:p>
    <w:pPr>
      <w:pStyle w:val="943"/>
      <w:spacing w:before="0" w:beforeAutospacing="0" w:after="0"/>
      <w:rPr>
        <w:rFonts w:ascii="PT Astra Serif" w:hAnsi="PT Astra Serif"/>
        <w:spacing w:val="20"/>
        <w:sz w:val="24"/>
        <w:szCs w:val="24"/>
      </w:rPr>
    </w:pPr>
    <w:r>
      <w:rPr>
        <w:rFonts w:ascii="PT Astra Serif" w:hAnsi="PT Astra Serif"/>
        <w:spacing w:val="20"/>
        <w:sz w:val="24"/>
        <w:szCs w:val="24"/>
      </w:rPr>
    </w:r>
    <w:r>
      <w:rPr>
        <w:rFonts w:ascii="PT Astra Serif" w:hAnsi="PT Astra Serif"/>
        <w:spacing w:val="20"/>
        <w:sz w:val="24"/>
        <w:szCs w:val="24"/>
      </w:rPr>
    </w:r>
    <w:r>
      <w:rPr>
        <w:rFonts w:ascii="PT Astra Serif" w:hAnsi="PT Astra Serif"/>
        <w:spacing w:val="20"/>
        <w:sz w:val="24"/>
        <w:szCs w:val="24"/>
      </w:rPr>
    </w:r>
  </w:p>
  <w:p>
    <w:pPr>
      <w:pStyle w:val="943"/>
      <w:spacing w:before="0" w:beforeAutospacing="0" w:after="0"/>
      <w:rPr>
        <w:rFonts w:ascii="PT Astra Serif" w:hAnsi="PT Astra Serif"/>
        <w:spacing w:val="20"/>
        <w:sz w:val="24"/>
        <w:szCs w:val="24"/>
      </w:rPr>
    </w:pPr>
    <w:r>
      <w:rPr>
        <w:rFonts w:ascii="PT Astra Serif" w:hAnsi="PT Astra Serif"/>
        <w:spacing w:val="20"/>
        <w:sz w:val="24"/>
        <w:szCs w:val="24"/>
        <w:highlight w:val="none"/>
      </w:rPr>
    </w:r>
    <w:r>
      <w:rPr>
        <w:rFonts w:ascii="PT Astra Serif" w:hAnsi="PT Astra Serif"/>
        <w:spacing w:val="20"/>
        <w:sz w:val="24"/>
        <w:szCs w:val="24"/>
      </w:rPr>
    </w:r>
    <w:r>
      <w:rPr>
        <w:rFonts w:ascii="PT Astra Serif" w:hAnsi="PT Astra Serif"/>
        <w:spacing w:val="20"/>
        <w:sz w:val="24"/>
        <w:szCs w:val="24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10</w:t>
    </w:r>
    <w:r>
      <w:rPr>
        <w:rFonts w:ascii="PT Astra Serif" w:hAnsi="PT Astra Serif"/>
        <w:b w:val="0"/>
        <w:szCs w:val="28"/>
      </w:rPr>
      <w:fldChar w:fldCharType="end"/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543013403"/>
      <w:docPartObj>
        <w:docPartGallery w:val="Page Numbers (Top of Page)"/>
        <w:docPartUnique w:val="true"/>
      </w:docPartObj>
      <w:rPr/>
    </w:sdtPr>
    <w:sdtContent>
      <w:p>
        <w:pPr>
          <w:pStyle w:val="943"/>
          <w:rPr>
            <w:rFonts w:ascii="PT Astra Serif" w:hAnsi="PT Astra Serif"/>
            <w:b w:val="0"/>
          </w:rPr>
        </w:pPr>
        <w:r>
          <w:rPr>
            <w:rFonts w:ascii="PT Astra Serif" w:hAnsi="PT Astra Serif"/>
            <w:b w:val="0"/>
          </w:rPr>
          <w:fldChar w:fldCharType="begin"/>
        </w:r>
        <w:r>
          <w:rPr>
            <w:rFonts w:ascii="PT Astra Serif" w:hAnsi="PT Astra Serif"/>
            <w:b w:val="0"/>
          </w:rPr>
          <w:instrText xml:space="preserve">PAGE   \* MERGEFORMAT</w:instrText>
        </w:r>
        <w:r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</w:rPr>
          <w:t xml:space="preserve">13</w:t>
        </w:r>
        <w:r>
          <w:rPr>
            <w:rFonts w:ascii="PT Astra Serif" w:hAnsi="PT Astra Serif"/>
            <w:b w:val="0"/>
          </w:rPr>
          <w:fldChar w:fldCharType="end"/>
        </w:r>
        <w:r>
          <w:rPr>
            <w:rFonts w:ascii="PT Astra Serif" w:hAnsi="PT Astra Serif"/>
            <w:b w:val="0"/>
          </w:rPr>
        </w:r>
        <w:r>
          <w:rPr>
            <w:rFonts w:ascii="PT Astra Serif" w:hAnsi="PT Astra Serif"/>
            <w:b w:val="0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3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7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2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4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5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7"/>
  </w:num>
  <w:num w:numId="3">
    <w:abstractNumId w:val="26"/>
  </w:num>
  <w:num w:numId="4">
    <w:abstractNumId w:val="8"/>
  </w:num>
  <w:num w:numId="5">
    <w:abstractNumId w:val="36"/>
  </w:num>
  <w:num w:numId="6">
    <w:abstractNumId w:val="21"/>
  </w:num>
  <w:num w:numId="7">
    <w:abstractNumId w:val="28"/>
  </w:num>
  <w:num w:numId="8">
    <w:abstractNumId w:val="2"/>
  </w:num>
  <w:num w:numId="9">
    <w:abstractNumId w:val="42"/>
  </w:num>
  <w:num w:numId="10">
    <w:abstractNumId w:val="4"/>
  </w:num>
  <w:num w:numId="11">
    <w:abstractNumId w:val="31"/>
  </w:num>
  <w:num w:numId="12">
    <w:abstractNumId w:val="30"/>
  </w:num>
  <w:num w:numId="13">
    <w:abstractNumId w:val="35"/>
  </w:num>
  <w:num w:numId="14">
    <w:abstractNumId w:val="40"/>
  </w:num>
  <w:num w:numId="15">
    <w:abstractNumId w:val="12"/>
  </w:num>
  <w:num w:numId="16">
    <w:abstractNumId w:val="25"/>
  </w:num>
  <w:num w:numId="17">
    <w:abstractNumId w:val="34"/>
  </w:num>
  <w:num w:numId="18">
    <w:abstractNumId w:val="19"/>
  </w:num>
  <w:num w:numId="19">
    <w:abstractNumId w:val="17"/>
  </w:num>
  <w:num w:numId="20">
    <w:abstractNumId w:val="6"/>
  </w:num>
  <w:num w:numId="21">
    <w:abstractNumId w:val="16"/>
  </w:num>
  <w:num w:numId="22">
    <w:abstractNumId w:val="13"/>
  </w:num>
  <w:num w:numId="23">
    <w:abstractNumId w:val="5"/>
  </w:num>
  <w:num w:numId="24">
    <w:abstractNumId w:val="39"/>
  </w:num>
  <w:num w:numId="25">
    <w:abstractNumId w:val="7"/>
  </w:num>
  <w:num w:numId="26">
    <w:abstractNumId w:val="9"/>
  </w:num>
  <w:num w:numId="27">
    <w:abstractNumId w:val="3"/>
  </w:num>
  <w:num w:numId="28">
    <w:abstractNumId w:val="1"/>
  </w:num>
  <w:num w:numId="29">
    <w:abstractNumId w:val="33"/>
  </w:num>
  <w:num w:numId="30">
    <w:abstractNumId w:val="22"/>
  </w:num>
  <w:num w:numId="31">
    <w:abstractNumId w:val="38"/>
  </w:num>
  <w:num w:numId="32">
    <w:abstractNumId w:val="14"/>
  </w:num>
  <w:num w:numId="33">
    <w:abstractNumId w:val="41"/>
  </w:num>
  <w:num w:numId="34">
    <w:abstractNumId w:val="23"/>
  </w:num>
  <w:num w:numId="35">
    <w:abstractNumId w:val="29"/>
  </w:num>
  <w:num w:numId="36">
    <w:abstractNumId w:val="24"/>
  </w:num>
  <w:num w:numId="37">
    <w:abstractNumId w:val="15"/>
  </w:num>
  <w:num w:numId="38">
    <w:abstractNumId w:val="11"/>
  </w:num>
  <w:num w:numId="39">
    <w:abstractNumId w:val="18"/>
  </w:num>
  <w:num w:numId="40">
    <w:abstractNumId w:val="0"/>
  </w:num>
  <w:num w:numId="41">
    <w:abstractNumId w:val="27"/>
  </w:num>
  <w:num w:numId="42">
    <w:abstractNumId w:val="10"/>
  </w:num>
  <w:num w:numId="43">
    <w:abstractNumId w:val="32"/>
  </w:num>
  <w:num w:numId="44">
    <w:abstractNumId w:val="43"/>
  </w:num>
  <w:num w:numId="45">
    <w:abstractNumId w:val="44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70">
    <w:name w:val="Plain Table 1"/>
    <w:basedOn w:val="9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71">
    <w:name w:val="Plain Table 2"/>
    <w:basedOn w:val="90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72">
    <w:name w:val="Plain Table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3">
    <w:name w:val="Plain Table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Plain Table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75">
    <w:name w:val="Grid Table 1 Light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Grid Table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Grid Table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>
    <w:name w:val="Grid Table 4"/>
    <w:basedOn w:val="9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9">
    <w:name w:val="Grid Table 5 Dark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80">
    <w:name w:val="Grid Table 6 Colorful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81">
    <w:name w:val="Grid Table 7 Colorful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List Table 1 Light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List Table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84">
    <w:name w:val="List Table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5 Dark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7">
    <w:name w:val="List Table 6 Colorful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8">
    <w:name w:val="List Table 7 Colorful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889">
    <w:name w:val="Endnote Text Char"/>
    <w:link w:val="920"/>
    <w:uiPriority w:val="99"/>
    <w:rPr>
      <w:sz w:val="20"/>
    </w:rPr>
  </w:style>
  <w:style w:type="paragraph" w:styleId="890" w:default="1">
    <w:name w:val="Normal"/>
    <w:link w:val="96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891">
    <w:name w:val="Heading 1"/>
    <w:link w:val="924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892">
    <w:name w:val="Heading 2"/>
    <w:link w:val="925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893">
    <w:name w:val="Heading 3"/>
    <w:link w:val="92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894">
    <w:name w:val="Heading 4"/>
    <w:link w:val="92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895">
    <w:name w:val="Heading 5"/>
    <w:link w:val="92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896">
    <w:name w:val="Heading 6"/>
    <w:link w:val="92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897">
    <w:name w:val="Heading 7"/>
    <w:link w:val="93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98">
    <w:name w:val="Heading 8"/>
    <w:link w:val="93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899">
    <w:name w:val="Heading 9"/>
    <w:link w:val="93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900" w:default="1">
    <w:name w:val="Default Paragraph Font"/>
    <w:uiPriority w:val="1"/>
    <w:semiHidden/>
    <w:unhideWhenUsed/>
  </w:style>
  <w:style w:type="table" w:styleId="9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2" w:default="1">
    <w:name w:val="No List"/>
    <w:uiPriority w:val="99"/>
    <w:semiHidden/>
    <w:unhideWhenUsed/>
  </w:style>
  <w:style w:type="character" w:styleId="903" w:customStyle="1">
    <w:name w:val="Heading 1 Char"/>
    <w:basedOn w:val="900"/>
    <w:uiPriority w:val="9"/>
    <w:rPr>
      <w:rFonts w:ascii="Arial" w:hAnsi="Arial" w:eastAsia="Arial" w:cs="Arial"/>
      <w:sz w:val="40"/>
      <w:szCs w:val="40"/>
    </w:rPr>
  </w:style>
  <w:style w:type="character" w:styleId="904" w:customStyle="1">
    <w:name w:val="Heading 2 Char"/>
    <w:basedOn w:val="900"/>
    <w:uiPriority w:val="9"/>
    <w:rPr>
      <w:rFonts w:ascii="Arial" w:hAnsi="Arial" w:eastAsia="Arial" w:cs="Arial"/>
      <w:sz w:val="34"/>
    </w:rPr>
  </w:style>
  <w:style w:type="character" w:styleId="905" w:customStyle="1">
    <w:name w:val="Heading 3 Char"/>
    <w:basedOn w:val="900"/>
    <w:uiPriority w:val="9"/>
    <w:rPr>
      <w:rFonts w:ascii="Arial" w:hAnsi="Arial" w:eastAsia="Arial" w:cs="Arial"/>
      <w:sz w:val="30"/>
      <w:szCs w:val="30"/>
    </w:rPr>
  </w:style>
  <w:style w:type="character" w:styleId="906" w:customStyle="1">
    <w:name w:val="Heading 4 Char"/>
    <w:basedOn w:val="900"/>
    <w:uiPriority w:val="9"/>
    <w:rPr>
      <w:rFonts w:ascii="Arial" w:hAnsi="Arial" w:eastAsia="Arial" w:cs="Arial"/>
      <w:b/>
      <w:bCs/>
      <w:sz w:val="26"/>
      <w:szCs w:val="26"/>
    </w:rPr>
  </w:style>
  <w:style w:type="character" w:styleId="907" w:customStyle="1">
    <w:name w:val="Heading 5 Char"/>
    <w:basedOn w:val="900"/>
    <w:uiPriority w:val="9"/>
    <w:rPr>
      <w:rFonts w:ascii="Arial" w:hAnsi="Arial" w:eastAsia="Arial" w:cs="Arial"/>
      <w:b/>
      <w:bCs/>
      <w:sz w:val="24"/>
      <w:szCs w:val="24"/>
    </w:rPr>
  </w:style>
  <w:style w:type="character" w:styleId="908" w:customStyle="1">
    <w:name w:val="Heading 6 Char"/>
    <w:basedOn w:val="900"/>
    <w:uiPriority w:val="9"/>
    <w:rPr>
      <w:rFonts w:ascii="Arial" w:hAnsi="Arial" w:eastAsia="Arial" w:cs="Arial"/>
      <w:b/>
      <w:bCs/>
      <w:sz w:val="22"/>
      <w:szCs w:val="22"/>
    </w:rPr>
  </w:style>
  <w:style w:type="character" w:styleId="909" w:customStyle="1">
    <w:name w:val="Heading 7 Char"/>
    <w:basedOn w:val="9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910" w:customStyle="1">
    <w:name w:val="Heading 8 Char"/>
    <w:basedOn w:val="900"/>
    <w:uiPriority w:val="9"/>
    <w:rPr>
      <w:rFonts w:ascii="Arial" w:hAnsi="Arial" w:eastAsia="Arial" w:cs="Arial"/>
      <w:i/>
      <w:iCs/>
      <w:sz w:val="22"/>
      <w:szCs w:val="22"/>
    </w:rPr>
  </w:style>
  <w:style w:type="character" w:styleId="911" w:customStyle="1">
    <w:name w:val="Heading 9 Char"/>
    <w:basedOn w:val="900"/>
    <w:uiPriority w:val="9"/>
    <w:rPr>
      <w:rFonts w:ascii="Arial" w:hAnsi="Arial" w:eastAsia="Arial" w:cs="Arial"/>
      <w:i/>
      <w:iCs/>
      <w:sz w:val="21"/>
      <w:szCs w:val="21"/>
    </w:rPr>
  </w:style>
  <w:style w:type="character" w:styleId="912" w:customStyle="1">
    <w:name w:val="Title Char"/>
    <w:basedOn w:val="900"/>
    <w:uiPriority w:val="10"/>
    <w:rPr>
      <w:sz w:val="48"/>
      <w:szCs w:val="48"/>
    </w:rPr>
  </w:style>
  <w:style w:type="character" w:styleId="913" w:customStyle="1">
    <w:name w:val="Subtitle Char"/>
    <w:basedOn w:val="900"/>
    <w:uiPriority w:val="11"/>
    <w:rPr>
      <w:sz w:val="24"/>
      <w:szCs w:val="24"/>
    </w:rPr>
  </w:style>
  <w:style w:type="character" w:styleId="914" w:customStyle="1">
    <w:name w:val="Quote Char"/>
    <w:uiPriority w:val="29"/>
    <w:rPr>
      <w:i/>
    </w:rPr>
  </w:style>
  <w:style w:type="character" w:styleId="915" w:customStyle="1">
    <w:name w:val="Intense Quote Char"/>
    <w:uiPriority w:val="30"/>
    <w:rPr>
      <w:i/>
    </w:rPr>
  </w:style>
  <w:style w:type="character" w:styleId="916" w:customStyle="1">
    <w:name w:val="Header Char"/>
    <w:basedOn w:val="900"/>
    <w:uiPriority w:val="99"/>
  </w:style>
  <w:style w:type="character" w:styleId="917" w:customStyle="1">
    <w:name w:val="Footer Char"/>
    <w:basedOn w:val="900"/>
    <w:uiPriority w:val="99"/>
  </w:style>
  <w:style w:type="character" w:styleId="918" w:customStyle="1">
    <w:name w:val="Caption Char"/>
    <w:uiPriority w:val="99"/>
  </w:style>
  <w:style w:type="character" w:styleId="919" w:customStyle="1">
    <w:name w:val="Footnote Text Char"/>
    <w:uiPriority w:val="99"/>
    <w:rPr>
      <w:sz w:val="18"/>
    </w:rPr>
  </w:style>
  <w:style w:type="paragraph" w:styleId="920">
    <w:name w:val="endnote text"/>
    <w:basedOn w:val="890"/>
    <w:link w:val="921"/>
    <w:uiPriority w:val="99"/>
    <w:semiHidden/>
    <w:unhideWhenUsed/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basedOn w:val="900"/>
    <w:uiPriority w:val="99"/>
    <w:semiHidden/>
    <w:unhideWhenUsed/>
    <w:rPr>
      <w:vertAlign w:val="superscript"/>
    </w:rPr>
  </w:style>
  <w:style w:type="paragraph" w:styleId="923">
    <w:name w:val="table of figures"/>
    <w:basedOn w:val="890"/>
    <w:next w:val="890"/>
    <w:uiPriority w:val="99"/>
    <w:unhideWhenUsed/>
  </w:style>
  <w:style w:type="character" w:styleId="924" w:customStyle="1">
    <w:name w:val="Заголовок 1 Знак"/>
    <w:link w:val="891"/>
    <w:uiPriority w:val="9"/>
    <w:rPr>
      <w:rFonts w:ascii="Arial" w:hAnsi="Arial" w:eastAsia="Arial"/>
      <w:sz w:val="40"/>
      <w:szCs w:val="40"/>
      <w:lang w:bidi="ar-SA"/>
    </w:rPr>
  </w:style>
  <w:style w:type="character" w:styleId="925" w:customStyle="1">
    <w:name w:val="Заголовок 2 Знак"/>
    <w:link w:val="892"/>
    <w:uiPriority w:val="9"/>
    <w:rPr>
      <w:rFonts w:ascii="Arial" w:hAnsi="Arial" w:eastAsia="Arial"/>
      <w:sz w:val="34"/>
      <w:lang w:bidi="ar-SA"/>
    </w:rPr>
  </w:style>
  <w:style w:type="character" w:styleId="926" w:customStyle="1">
    <w:name w:val="Заголовок 3 Знак"/>
    <w:link w:val="893"/>
    <w:uiPriority w:val="9"/>
    <w:rPr>
      <w:rFonts w:ascii="Arial" w:hAnsi="Arial" w:eastAsia="Arial"/>
      <w:sz w:val="30"/>
      <w:szCs w:val="30"/>
      <w:lang w:bidi="ar-SA"/>
    </w:rPr>
  </w:style>
  <w:style w:type="character" w:styleId="927" w:customStyle="1">
    <w:name w:val="Заголовок 4 Знак"/>
    <w:link w:val="89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928" w:customStyle="1">
    <w:name w:val="Заголовок 5 Знак"/>
    <w:link w:val="89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929" w:customStyle="1">
    <w:name w:val="Заголовок 6 Знак"/>
    <w:link w:val="89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930" w:customStyle="1">
    <w:name w:val="Заголовок 7 Знак"/>
    <w:link w:val="89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931" w:customStyle="1">
    <w:name w:val="Заголовок 8 Знак"/>
    <w:link w:val="89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32" w:customStyle="1">
    <w:name w:val="Заголовок 9 Знак"/>
    <w:link w:val="89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933">
    <w:name w:val="List Paragraph"/>
    <w:uiPriority w:val="34"/>
    <w:qFormat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934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5">
    <w:name w:val="Title"/>
    <w:link w:val="936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936" w:customStyle="1">
    <w:name w:val="Заголовок Знак"/>
    <w:link w:val="935"/>
    <w:uiPriority w:val="10"/>
    <w:rPr>
      <w:sz w:val="48"/>
      <w:szCs w:val="48"/>
      <w:lang w:bidi="ar-SA"/>
    </w:rPr>
  </w:style>
  <w:style w:type="paragraph" w:styleId="937">
    <w:name w:val="Subtitle"/>
    <w:link w:val="938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938" w:customStyle="1">
    <w:name w:val="Подзаголовок Знак"/>
    <w:link w:val="937"/>
    <w:uiPriority w:val="11"/>
    <w:rPr>
      <w:sz w:val="24"/>
      <w:szCs w:val="24"/>
      <w:lang w:bidi="ar-SA"/>
    </w:rPr>
  </w:style>
  <w:style w:type="paragraph" w:styleId="939">
    <w:name w:val="Quote"/>
    <w:link w:val="940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940" w:customStyle="1">
    <w:name w:val="Цитата 2 Знак"/>
    <w:link w:val="939"/>
    <w:uiPriority w:val="29"/>
    <w:rPr>
      <w:i/>
      <w:lang w:val="ru-RU" w:eastAsia="ru-RU" w:bidi="ar-SA"/>
    </w:rPr>
  </w:style>
  <w:style w:type="paragraph" w:styleId="941">
    <w:name w:val="Intense Quote"/>
    <w:link w:val="94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942" w:customStyle="1">
    <w:name w:val="Выделенная цитата Знак"/>
    <w:link w:val="941"/>
    <w:uiPriority w:val="30"/>
    <w:rPr>
      <w:i/>
      <w:shd w:val="clear" w:color="auto" w:fill="f2f2f2"/>
      <w:lang w:val="ru-RU" w:eastAsia="ru-RU" w:bidi="ar-SA"/>
    </w:rPr>
  </w:style>
  <w:style w:type="paragraph" w:styleId="943">
    <w:name w:val="Header"/>
    <w:basedOn w:val="890"/>
    <w:link w:val="944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944" w:customStyle="1">
    <w:name w:val="Верхний колонтитул Знак"/>
    <w:link w:val="943"/>
    <w:uiPriority w:val="99"/>
  </w:style>
  <w:style w:type="paragraph" w:styleId="945">
    <w:name w:val="Footer"/>
    <w:basedOn w:val="890"/>
    <w:link w:val="946"/>
    <w:uiPriority w:val="99"/>
    <w:pPr>
      <w:tabs>
        <w:tab w:val="center" w:pos="4153" w:leader="none"/>
        <w:tab w:val="right" w:pos="8306" w:leader="none"/>
      </w:tabs>
    </w:pPr>
  </w:style>
  <w:style w:type="character" w:styleId="946" w:customStyle="1">
    <w:name w:val="Нижний колонтитул Знак"/>
    <w:link w:val="945"/>
    <w:uiPriority w:val="99"/>
  </w:style>
  <w:style w:type="table" w:styleId="947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48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49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5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51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9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0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1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2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983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984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985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986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987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988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989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0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1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2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3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4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5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6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7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8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9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0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1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2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3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04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05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06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07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08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09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1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7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8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9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0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1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2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3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4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5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6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7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8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9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30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31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1032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1033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1034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1035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1036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1037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1038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39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0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1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2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3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4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5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6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7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8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9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50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51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52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53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54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55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56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57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58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59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60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61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62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63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64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65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66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67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68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69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70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71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72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1073">
    <w:name w:val="Hyperlink"/>
    <w:uiPriority w:val="99"/>
    <w:unhideWhenUsed/>
    <w:rPr>
      <w:color w:val="0000ff"/>
      <w:u w:val="single"/>
    </w:rPr>
  </w:style>
  <w:style w:type="paragraph" w:styleId="1074">
    <w:name w:val="footnote text"/>
    <w:link w:val="1075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1075" w:customStyle="1">
    <w:name w:val="Текст сноски Знак"/>
    <w:link w:val="1074"/>
    <w:uiPriority w:val="99"/>
    <w:semiHidden/>
    <w:rPr>
      <w:sz w:val="18"/>
      <w:lang w:bidi="ar-SA"/>
    </w:rPr>
  </w:style>
  <w:style w:type="character" w:styleId="1076">
    <w:name w:val="footnote reference"/>
    <w:uiPriority w:val="99"/>
    <w:unhideWhenUsed/>
    <w:rPr>
      <w:vertAlign w:val="superscript"/>
    </w:rPr>
  </w:style>
  <w:style w:type="paragraph" w:styleId="1077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78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79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80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81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82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83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84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85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86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87">
    <w:name w:val="Body Text"/>
    <w:basedOn w:val="890"/>
    <w:next w:val="890"/>
    <w:pPr>
      <w:jc w:val="both"/>
    </w:pPr>
    <w:rPr>
      <w:sz w:val="22"/>
    </w:rPr>
  </w:style>
  <w:style w:type="character" w:styleId="1088">
    <w:name w:val="page number"/>
    <w:basedOn w:val="900"/>
  </w:style>
  <w:style w:type="paragraph" w:styleId="1089">
    <w:name w:val="Caption"/>
    <w:basedOn w:val="890"/>
    <w:next w:val="890"/>
    <w:link w:val="918"/>
    <w:pPr>
      <w:jc w:val="center"/>
    </w:pPr>
    <w:rPr>
      <w:b/>
      <w:sz w:val="28"/>
    </w:rPr>
  </w:style>
  <w:style w:type="paragraph" w:styleId="1090">
    <w:name w:val="Body Text 2"/>
    <w:basedOn w:val="890"/>
    <w:pPr>
      <w:ind w:right="5102"/>
      <w:jc w:val="center"/>
      <w:spacing w:before="120"/>
    </w:pPr>
  </w:style>
  <w:style w:type="paragraph" w:styleId="1091" w:customStyle="1">
    <w:name w:val="Обращение"/>
    <w:basedOn w:val="890"/>
    <w:next w:val="890"/>
    <w:pPr>
      <w:jc w:val="center"/>
      <w:spacing w:before="240" w:after="120"/>
    </w:pPr>
    <w:rPr>
      <w:b/>
    </w:rPr>
  </w:style>
  <w:style w:type="paragraph" w:styleId="1092" w:customStyle="1">
    <w:name w:val="Адресные реквизиты"/>
    <w:basedOn w:val="1087"/>
    <w:next w:val="1087"/>
    <w:pPr>
      <w:jc w:val="left"/>
    </w:pPr>
    <w:rPr>
      <w:sz w:val="16"/>
    </w:rPr>
  </w:style>
  <w:style w:type="paragraph" w:styleId="1093" w:customStyle="1">
    <w:name w:val="Адресат"/>
    <w:basedOn w:val="890"/>
    <w:pPr>
      <w:spacing w:before="120"/>
    </w:pPr>
    <w:rPr>
      <w:b/>
    </w:rPr>
  </w:style>
  <w:style w:type="paragraph" w:styleId="1094">
    <w:name w:val="Body Text 3"/>
    <w:basedOn w:val="890"/>
    <w:pPr>
      <w:spacing w:before="120"/>
      <w:tabs>
        <w:tab w:val="left" w:pos="7371" w:leader="none"/>
      </w:tabs>
    </w:pPr>
    <w:rPr>
      <w:sz w:val="28"/>
    </w:rPr>
  </w:style>
  <w:style w:type="paragraph" w:styleId="1095">
    <w:name w:val="Balloon Text"/>
    <w:basedOn w:val="890"/>
    <w:link w:val="1096"/>
    <w:uiPriority w:val="99"/>
    <w:semiHidden/>
    <w:unhideWhenUsed/>
    <w:rPr>
      <w:rFonts w:ascii="Tahoma" w:hAnsi="Tahoma"/>
      <w:sz w:val="16"/>
      <w:szCs w:val="16"/>
    </w:rPr>
  </w:style>
  <w:style w:type="character" w:styleId="1096" w:customStyle="1">
    <w:name w:val="Текст выноски Знак"/>
    <w:link w:val="1095"/>
    <w:uiPriority w:val="99"/>
    <w:semiHidden/>
    <w:rPr>
      <w:rFonts w:ascii="Tahoma" w:hAnsi="Tahoma" w:cs="Tahoma"/>
      <w:sz w:val="16"/>
      <w:szCs w:val="16"/>
    </w:rPr>
  </w:style>
  <w:style w:type="paragraph" w:styleId="1097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1098">
    <w:name w:val="Body Text Indent"/>
    <w:basedOn w:val="890"/>
    <w:link w:val="1099"/>
    <w:uiPriority w:val="99"/>
    <w:semiHidden/>
    <w:unhideWhenUsed/>
    <w:pPr>
      <w:ind w:left="283"/>
      <w:spacing w:after="120"/>
    </w:pPr>
  </w:style>
  <w:style w:type="character" w:styleId="1099" w:customStyle="1">
    <w:name w:val="Основной текст с отступом Знак"/>
    <w:link w:val="1098"/>
    <w:uiPriority w:val="99"/>
    <w:semiHidden/>
    <w:rPr>
      <w:sz w:val="22"/>
      <w:szCs w:val="22"/>
      <w:lang w:eastAsia="en-US" w:bidi="en-US"/>
    </w:rPr>
  </w:style>
  <w:style w:type="paragraph" w:styleId="1100" w:customStyle="1">
    <w:name w:val="Заголовок 11"/>
    <w:basedOn w:val="945"/>
    <w:next w:val="945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1101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1102" w:customStyle="1">
    <w:name w:val="formattext"/>
    <w:basedOn w:val="890"/>
    <w:qFormat/>
    <w:pPr>
      <w:spacing w:beforeAutospacing="1" w:after="2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image" Target="media/image2.jpg"/><Relationship Id="rId16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mma</cp:lastModifiedBy>
  <cp:revision>9</cp:revision>
  <dcterms:created xsi:type="dcterms:W3CDTF">2024-09-18T04:54:00Z</dcterms:created>
  <dcterms:modified xsi:type="dcterms:W3CDTF">2026-08-13T09:07:52Z</dcterms:modified>
</cp:coreProperties>
</file>