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false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01 ноября 2021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 года 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Департаментом  социальной защиты населения Томской области проведено публичное мероприятие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 в форме видеоконференции </w:t>
      </w:r>
      <w:r>
        <w:rPr>
          <w:rFonts w:ascii="PT Astra Serif" w:hAnsi="PT Astra Serif"/>
          <w:sz w:val="28"/>
          <w:szCs w:val="28"/>
        </w:rPr>
        <w:t xml:space="preserve">по теме: </w:t>
      </w: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Осуществление контрольно-надзорной деятельности </w:t>
      </w:r>
      <w:r>
        <w:rPr>
          <w:rFonts w:ascii="PT Astra Serif" w:hAnsi="PT Astra Serif" w:cs="Times New Roman"/>
          <w:sz w:val="28"/>
          <w:szCs w:val="28"/>
        </w:rPr>
        <w:t xml:space="preserve">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 и обсуждение результатов правоприменительной практики контрольно-надзорной деятельности</w:t>
      </w:r>
      <w:r>
        <w:rPr>
          <w:rFonts w:ascii="PT Astra Serif" w:hAnsi="PT Astra Serif" w:cs="Times New Roman"/>
          <w:sz w:val="28"/>
          <w:szCs w:val="28"/>
        </w:rPr>
        <w:t xml:space="preserve">». </w:t>
      </w:r>
      <w:r>
        <w:rPr>
          <w:rFonts w:ascii="PT Astra Serif" w:hAnsi="PT Astra Serif" w:cs="Times New Roman"/>
          <w:sz w:val="28"/>
          <w:szCs w:val="28"/>
        </w:rPr>
        <w:t xml:space="preserve">Целью проведения</w:t>
      </w:r>
      <w:r>
        <w:rPr>
          <w:rFonts w:ascii="PT Astra Serif" w:hAnsi="PT Astra Serif" w:cs="Times New Roman"/>
          <w:sz w:val="28"/>
          <w:szCs w:val="28"/>
        </w:rPr>
        <w:t xml:space="preserve"> данного мероприятия являлось предупреждение, выявление и профилактика нарушений поставщиками социальных услуг обязательных требований, установленных законодательством в сфере социального обслуживания, а также реформа контрольной надзорной деятельности.</w:t>
      </w:r>
      <w:r/>
    </w:p>
    <w:p>
      <w:pPr>
        <w:pStyle w:val="571"/>
        <w:contextualSpacing w:val="false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</w:t>
      </w:r>
      <w:r>
        <w:rPr>
          <w:rFonts w:ascii="PT Astra Serif" w:hAnsi="PT Astra Serif"/>
        </w:rPr>
        <w:t xml:space="preserve">убличн</w:t>
      </w:r>
      <w:r>
        <w:rPr>
          <w:rFonts w:ascii="PT Astra Serif" w:hAnsi="PT Astra Serif"/>
        </w:rPr>
        <w:t xml:space="preserve">ое </w:t>
      </w:r>
      <w:r>
        <w:rPr>
          <w:rFonts w:ascii="PT Astra Serif" w:hAnsi="PT Astra Serif"/>
        </w:rPr>
        <w:t xml:space="preserve">мероприятие </w:t>
      </w:r>
      <w:r>
        <w:rPr>
          <w:rFonts w:ascii="PT Astra Serif" w:hAnsi="PT Astra Serif"/>
        </w:rPr>
        <w:t xml:space="preserve">проведено</w:t>
      </w:r>
      <w:r>
        <w:rPr>
          <w:rFonts w:ascii="PT Astra Serif" w:hAnsi="PT Astra Serif"/>
        </w:rPr>
        <w:t xml:space="preserve"> начальник</w:t>
      </w:r>
      <w:r>
        <w:rPr>
          <w:rFonts w:ascii="PT Astra Serif" w:hAnsi="PT Astra Serif"/>
        </w:rPr>
        <w:t xml:space="preserve">ом</w:t>
      </w:r>
      <w:r>
        <w:rPr>
          <w:rFonts w:ascii="PT Astra Serif" w:hAnsi="PT Astra Serif"/>
        </w:rPr>
        <w:t xml:space="preserve"> отдела контроля и надзора </w:t>
      </w:r>
      <w:r>
        <w:rPr>
          <w:rFonts w:ascii="PT Astra Serif" w:hAnsi="PT Astra Serif"/>
        </w:rPr>
        <w:t xml:space="preserve">Стерховой</w:t>
      </w:r>
      <w:r>
        <w:rPr>
          <w:rFonts w:ascii="PT Astra Serif" w:hAnsi="PT Astra Serif"/>
        </w:rPr>
        <w:t xml:space="preserve"> Т.В.</w:t>
      </w:r>
      <w:r>
        <w:rPr>
          <w:rFonts w:ascii="PT Astra Serif" w:hAnsi="PT Astra Serif"/>
        </w:rPr>
        <w:t xml:space="preserve">, </w:t>
      </w:r>
      <w:r>
        <w:rPr>
          <w:rFonts w:ascii="PT Astra Serif" w:hAnsi="PT Astra Serif" w:eastAsia="Times New Roman"/>
          <w:lang w:eastAsia="ru-RU"/>
        </w:rPr>
        <w:t xml:space="preserve">которая отметила необходимость поддержания эффективного взаимодействия, открытого диалога надзорных органов </w:t>
      </w:r>
      <w:r>
        <w:rPr>
          <w:rFonts w:ascii="PT Astra Serif" w:hAnsi="PT Astra Serif" w:eastAsia="Times New Roman"/>
          <w:lang w:eastAsia="ru-RU"/>
        </w:rPr>
        <w:t xml:space="preserve">с проверяемыми хозяйствующими субъектами. Также отметила высокую важность проведения подобных мероприятий, которые прежде всего направлены на предупреждение нарушений обязательных требований, предъявляемых законодательством и нормативными правовыми актами.</w:t>
      </w:r>
      <w:r>
        <w:rPr>
          <w:rFonts w:ascii="PT Astra Serif" w:hAnsi="PT Astra Serif"/>
        </w:rPr>
        <w:t xml:space="preserve"> </w:t>
      </w:r>
      <w:r/>
    </w:p>
    <w:p>
      <w:pPr>
        <w:pStyle w:val="571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571"/>
        <w:contextualSpacing w:val="false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ходе публичного мероприятия была представлена следующая информация</w:t>
      </w:r>
      <w:r>
        <w:rPr>
          <w:rFonts w:ascii="PT Astra Serif" w:hAnsi="PT Astra Serif"/>
        </w:rPr>
        <w:t xml:space="preserve">:</w:t>
      </w:r>
      <w:r/>
    </w:p>
    <w:p>
      <w:pPr>
        <w:pStyle w:val="571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571"/>
        <w:numPr>
          <w:ilvl w:val="0"/>
          <w:numId w:val="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bCs/>
        </w:rPr>
      </w:pPr>
      <w:r>
        <w:rPr>
          <w:rFonts w:ascii="PT Astra Serif" w:hAnsi="PT Astra Serif" w:eastAsia="Times New Roman"/>
          <w:lang w:eastAsia="ru-RU"/>
        </w:rPr>
        <w:t xml:space="preserve">Доклад</w:t>
      </w:r>
      <w:r>
        <w:rPr>
          <w:rFonts w:ascii="PT Astra Serif" w:hAnsi="PT Astra Serif" w:eastAsia="Times New Roman"/>
          <w:lang w:eastAsia="ru-RU"/>
        </w:rPr>
        <w:t xml:space="preserve"> </w:t>
      </w:r>
      <w:r>
        <w:rPr>
          <w:rFonts w:ascii="PT Astra Serif" w:hAnsi="PT Astra Serif"/>
          <w:bCs/>
        </w:rPr>
        <w:t xml:space="preserve">по правоприменительной п</w:t>
      </w:r>
      <w:r>
        <w:rPr>
          <w:rFonts w:ascii="PT Astra Serif" w:hAnsi="PT Astra Serif"/>
          <w:bCs/>
        </w:rPr>
        <w:t xml:space="preserve">рактике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на территории Томской области</w:t>
      </w:r>
      <w:r>
        <w:rPr>
          <w:rFonts w:ascii="PT Astra Serif" w:hAnsi="PT Astra Serif"/>
          <w:bCs/>
        </w:rPr>
        <w:t xml:space="preserve">.</w:t>
      </w:r>
      <w:r>
        <w:rPr>
          <w:rFonts w:ascii="PT Astra Serif" w:hAnsi="PT Astra Serif"/>
          <w:bCs/>
        </w:rPr>
        <w:t xml:space="preserve"> </w:t>
      </w:r>
      <w:r/>
    </w:p>
    <w:p>
      <w:pPr>
        <w:pStyle w:val="571"/>
        <w:numPr>
          <w:ilvl w:val="0"/>
          <w:numId w:val="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eastAsia="Times New Roman"/>
          <w:bCs/>
        </w:rPr>
      </w:pPr>
      <w:r>
        <w:rPr>
          <w:rFonts w:ascii="PT Astra Serif" w:hAnsi="PT Astra Serif" w:eastAsia="Times New Roman"/>
          <w:bCs/>
          <w:lang w:eastAsia="ru-RU"/>
        </w:rPr>
        <w:t xml:space="preserve">Изменения, внесенные в нормативные правовые акты в течени</w:t>
      </w:r>
      <w:r>
        <w:rPr>
          <w:rFonts w:ascii="PT Astra Serif" w:hAnsi="PT Astra Serif" w:eastAsia="Times New Roman"/>
          <w:bCs/>
          <w:lang w:eastAsia="ru-RU"/>
        </w:rPr>
        <w:t xml:space="preserve">е </w:t>
      </w:r>
      <w:r>
        <w:rPr>
          <w:rFonts w:ascii="PT Astra Serif" w:hAnsi="PT Astra Serif" w:eastAsia="Times New Roman"/>
          <w:bCs/>
          <w:lang w:eastAsia="ru-RU"/>
        </w:rPr>
        <w:t xml:space="preserve">2021 года, в части соблюдения обязательных требований в сфере социального обслуживания</w:t>
      </w:r>
      <w:r>
        <w:rPr>
          <w:rFonts w:ascii="PT Astra Serif" w:hAnsi="PT Astra Serif" w:eastAsia="Times New Roman"/>
          <w:bCs/>
          <w:lang w:eastAsia="ru-RU"/>
        </w:rPr>
        <w:t xml:space="preserve"> </w:t>
      </w:r>
      <w:r/>
    </w:p>
    <w:p>
      <w:pPr>
        <w:pStyle w:val="573"/>
        <w:numPr>
          <w:ilvl w:val="0"/>
          <w:numId w:val="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рганизаци</w:t>
      </w:r>
      <w:r>
        <w:rPr>
          <w:rFonts w:ascii="PT Astra Serif" w:hAnsi="PT Astra Serif" w:cs="Times New Roman"/>
          <w:sz w:val="28"/>
          <w:szCs w:val="28"/>
        </w:rPr>
        <w:t xml:space="preserve">я</w:t>
      </w:r>
      <w:r>
        <w:rPr>
          <w:rFonts w:ascii="PT Astra Serif" w:hAnsi="PT Astra Serif" w:cs="Times New Roman"/>
          <w:sz w:val="28"/>
          <w:szCs w:val="28"/>
        </w:rPr>
        <w:t xml:space="preserve"> обеспеченности 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условий доступности для инвалидов объектов и предоставляемых услуг.</w:t>
      </w:r>
      <w:r/>
    </w:p>
    <w:p>
      <w:pPr>
        <w:pStyle w:val="571"/>
        <w:numPr>
          <w:ilvl w:val="0"/>
          <w:numId w:val="2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eastAsia="Times New Roman"/>
          <w:bCs/>
        </w:rPr>
      </w:pPr>
      <w:r>
        <w:rPr>
          <w:rFonts w:ascii="PT Astra Serif" w:hAnsi="PT Astra Serif"/>
        </w:rPr>
        <w:t xml:space="preserve">Информация об организации проведения плановых  проверок на 2021 год</w:t>
      </w:r>
      <w:r>
        <w:rPr>
          <w:rFonts w:ascii="PT Astra Serif" w:hAnsi="PT Astra Serif"/>
          <w:color w:val="000000"/>
        </w:rPr>
        <w:t xml:space="preserve">, р</w:t>
      </w:r>
      <w:r>
        <w:rPr>
          <w:rFonts w:ascii="PT Astra Serif" w:hAnsi="PT Astra Serif"/>
          <w:color w:val="000000"/>
        </w:rPr>
        <w:t xml:space="preserve">еформа </w:t>
      </w:r>
      <w:r>
        <w:rPr>
          <w:rFonts w:ascii="PT Astra Serif" w:hAnsi="PT Astra Serif"/>
          <w:color w:val="000000"/>
        </w:rPr>
        <w:t xml:space="preserve">контрольно</w:t>
      </w:r>
      <w:r>
        <w:rPr>
          <w:rFonts w:ascii="PT Astra Serif" w:hAnsi="PT Astra Serif"/>
          <w:color w:val="000000"/>
        </w:rPr>
        <w:t xml:space="preserve"> – надзорной деятельности в 2021 году.</w:t>
      </w:r>
      <w:r/>
    </w:p>
    <w:p>
      <w:pPr>
        <w:contextualSpacing w:val="false"/>
        <w:ind w:firstLine="709"/>
        <w:jc w:val="both"/>
        <w:spacing w:after="100" w:afterAutospacing="1" w:before="100" w:beforeAutospacing="1"/>
        <w:rPr>
          <w:rFonts w:ascii="PT Astra Serif" w:hAnsi="PT Astra Serif" w:cs="Times New Roman" w:eastAsia="Times New Roman"/>
          <w:sz w:val="28"/>
          <w:szCs w:val="28"/>
        </w:rPr>
      </w:pP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В ходе публичных обсуждений 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были предложены 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ряд 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мероприяти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й, в целях профилактики недопущения нарушений при осуществлении контроля (надзора) за обеспечением доступности для инвалидов социальных объектов и услуг.</w:t>
      </w:r>
      <w:r/>
    </w:p>
    <w:p>
      <w:pPr>
        <w:pStyle w:val="571"/>
        <w:contextualSpacing w:val="false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Также внимание было уделено основным изменениям, в связи с вступлением в силу нового Федерального закона от 31 июля 2020 года № </w:t>
      </w:r>
      <w:r>
        <w:rPr>
          <w:rFonts w:ascii="PT Astra Serif" w:hAnsi="PT Astra Serif"/>
        </w:rPr>
        <w:t xml:space="preserve">248-ФЗ «О государственном контроле (надзоре) и муниципальном контроле в Российской Федерации»</w:t>
      </w:r>
      <w:r>
        <w:rPr>
          <w:rFonts w:ascii="PT Astra Serif" w:hAnsi="PT Astra Serif"/>
        </w:rPr>
        <w:t xml:space="preserve">.</w:t>
      </w:r>
      <w:r/>
    </w:p>
    <w:p>
      <w:pPr>
        <w:ind w:firstLine="708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Отдельное внимание было обращено на вопросы контроля и надзора в сфере социального обслуживания (составление индивидуальных программ обслуживания</w:t>
      </w:r>
      <w:r>
        <w:rPr>
          <w:rFonts w:ascii="PT Astra Serif" w:hAnsi="PT Astra Serif" w:cs="Times New Roman"/>
          <w:sz w:val="28"/>
          <w:szCs w:val="28"/>
        </w:rPr>
        <w:t xml:space="preserve">,</w:t>
      </w:r>
      <w:r>
        <w:rPr>
          <w:rFonts w:ascii="PT Astra Serif" w:hAnsi="PT Astra Serif" w:cs="Times New Roman" w:eastAsia="Times New Roman"/>
          <w:bCs/>
          <w:sz w:val="28"/>
          <w:szCs w:val="28"/>
          <w:lang w:eastAsia="ru-RU"/>
        </w:rPr>
        <w:t xml:space="preserve"> порядок условий предоставления социальных услуг,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 w:eastAsia="Times New Roman"/>
          <w:bCs/>
          <w:sz w:val="28"/>
          <w:szCs w:val="28"/>
          <w:lang w:eastAsia="ru-RU"/>
        </w:rPr>
        <w:t xml:space="preserve">размещение информации на официальных сайтах и информационных стендах в зданиях и помещениях поставщиков социальных услуг</w:t>
      </w:r>
      <w:r>
        <w:rPr>
          <w:rFonts w:ascii="PT Astra Serif" w:hAnsi="PT Astra Serif" w:cs="Times New Roman" w:eastAsia="Times New Roman"/>
          <w:bCs/>
          <w:sz w:val="28"/>
          <w:szCs w:val="28"/>
          <w:lang w:eastAsia="ru-RU"/>
        </w:rP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;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/>
    </w:p>
    <w:p>
      <w:pPr>
        <w:jc w:val="both"/>
        <w:rPr>
          <w:rFonts w:ascii="PT Astra Serif" w:hAnsi="PT Astra Serif" w:cs="Times New Roman" w:eastAsia="Times New Roman"/>
          <w:sz w:val="28"/>
          <w:szCs w:val="28"/>
          <w:lang w:eastAsia="ru-RU"/>
        </w:rPr>
      </w:pPr>
      <w:r>
        <w:rPr>
          <w:rFonts w:ascii="PT Astra Serif" w:hAnsi="PT Astra Serif" w:cs="Times New Roman" w:eastAsia="Times New Roman"/>
          <w:sz w:val="28"/>
          <w:szCs w:val="28"/>
          <w:lang w:eastAsia="ru-RU"/>
        </w:rPr>
      </w:r>
      <w:r/>
    </w:p>
    <w:p>
      <w:pPr>
        <w:ind w:firstLine="708"/>
        <w:jc w:val="both"/>
        <w:rPr>
          <w:rFonts w:ascii="PT Astra Serif" w:hAnsi="PT Astra Serif" w:cs="Times New Roman" w:eastAsia="Times New Roman"/>
          <w:sz w:val="28"/>
          <w:szCs w:val="28"/>
          <w:lang w:eastAsia="ru-RU"/>
        </w:rPr>
      </w:pP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Участникам публичного обсуждения была предоставлена возможность задать вопросы о порядке применения законодательства</w:t>
      </w:r>
      <w:r>
        <w:rPr>
          <w:rFonts w:ascii="PT Astra Serif" w:hAnsi="PT Astra Serif" w:cs="Times New Roman"/>
          <w:sz w:val="28"/>
          <w:szCs w:val="28"/>
        </w:rPr>
        <w:t xml:space="preserve"> в сфере социального обслуживания</w:t>
      </w:r>
      <w:r>
        <w:rPr>
          <w:rFonts w:ascii="PT Astra Serif" w:hAnsi="PT Astra Serif" w:cs="Times New Roman" w:eastAsia="Times New Roman"/>
          <w:sz w:val="28"/>
          <w:szCs w:val="28"/>
          <w:lang w:eastAsia="ru-RU"/>
        </w:rPr>
        <w:t xml:space="preserve">.</w:t>
      </w:r>
      <w:r/>
    </w:p>
    <w:p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По результату публичного мероприятия участникам указано на необходимость  усилить контроль по соблюдению обязательных требований, предусмотренных законодательством в сфере социального обслуживания и недопущению нарушений обязательных требований.</w:t>
      </w:r>
      <w:r/>
    </w:p>
    <w:p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Руководителям организаций указано на уровень ответственности за несоблюдение требований законодательства, </w:t>
      </w:r>
      <w:r>
        <w:rPr>
          <w:rFonts w:ascii="PT Astra Serif" w:hAnsi="PT Astra Serif" w:cs="Times New Roman"/>
          <w:sz w:val="28"/>
          <w:szCs w:val="28"/>
        </w:rPr>
        <w:t xml:space="preserve">регулирующих правоотношения в сфере социального обслуживания.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/>
    </w:p>
    <w:p>
      <w:pPr>
        <w:pStyle w:val="571"/>
        <w:ind w:firstLine="709"/>
        <w:jc w:val="both"/>
        <w:rPr>
          <w:rFonts w:ascii="PT Astra Serif" w:hAnsi="PT Astra Serif" w:eastAsia="Times New Roman"/>
          <w:lang w:eastAsia="ru-RU"/>
        </w:rPr>
      </w:pPr>
      <w:r>
        <w:rPr>
          <w:rFonts w:ascii="PT Astra Serif" w:hAnsi="PT Astra Serif" w:eastAsia="Times New Roman"/>
          <w:lang w:eastAsia="ru-RU"/>
        </w:rPr>
      </w:r>
      <w:r/>
    </w:p>
    <w:p>
      <w:pPr>
        <w:pStyle w:val="571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eastAsia="Times New Roman"/>
          <w:lang w:eastAsia="ru-RU"/>
        </w:rPr>
        <w:t xml:space="preserve">В конце мероприятия было проведено анкетирование для определения эффективности и полезности публичного мероприятия. С результатами анкетирования, а также с материалами семинара можно будет ознакомиться </w:t>
      </w:r>
      <w:r>
        <w:rPr>
          <w:rFonts w:ascii="PT Astra Serif" w:hAnsi="PT Astra Serif"/>
        </w:rPr>
        <w:t xml:space="preserve">на официальном сайте Департамента в разделе: </w:t>
      </w:r>
      <w:r/>
    </w:p>
    <w:p>
      <w:pPr>
        <w:pStyle w:val="571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«Контрольно-Надзорная деятельность»/ «Публичные мероприятия»/ (https://dszn.tomsk.gov.ru/publichnye-meroprijatija/).</w:t>
      </w:r>
      <w:r/>
    </w:p>
    <w:p>
      <w:p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Количество уча</w:t>
      </w:r>
      <w:r>
        <w:rPr>
          <w:rFonts w:ascii="PT Astra Serif" w:hAnsi="PT Astra Serif" w:cs="Times New Roman"/>
          <w:sz w:val="28"/>
          <w:szCs w:val="28"/>
        </w:rPr>
        <w:t xml:space="preserve">стников - 20</w:t>
      </w:r>
      <w:r>
        <w:rPr>
          <w:rFonts w:ascii="PT Astra Serif" w:hAnsi="PT Astra Serif" w:cs="Times New Roman"/>
          <w:sz w:val="28"/>
          <w:szCs w:val="28"/>
        </w:rPr>
        <w:t xml:space="preserve"> чел.</w:t>
      </w:r>
      <w:r/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Продолжительность публ</w:t>
      </w:r>
      <w:r>
        <w:rPr>
          <w:rFonts w:ascii="PT Astra Serif" w:hAnsi="PT Astra Serif" w:cs="Times New Roman"/>
          <w:sz w:val="28"/>
          <w:szCs w:val="28"/>
        </w:rPr>
        <w:t xml:space="preserve">ичного мероприятия</w:t>
      </w:r>
      <w:r>
        <w:rPr>
          <w:rFonts w:ascii="Times New Roman" w:hAnsi="Times New Roman" w:cs="Times New Roman"/>
          <w:sz w:val="28"/>
          <w:szCs w:val="28"/>
        </w:rPr>
        <w:t xml:space="preserve">-семинара-1 ч. 10</w:t>
      </w:r>
      <w:r>
        <w:rPr>
          <w:rFonts w:ascii="Times New Roman" w:hAnsi="Times New Roman" w:cs="Times New Roman"/>
          <w:sz w:val="28"/>
          <w:szCs w:val="28"/>
        </w:rPr>
        <w:t xml:space="preserve"> мин.</w:t>
      </w:r>
      <w:r/>
    </w:p>
    <w:sectPr>
      <w:foot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7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70" w:hanging="51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4">
    <w:name w:val="Heading 1"/>
    <w:basedOn w:val="567"/>
    <w:next w:val="567"/>
    <w:link w:val="39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395">
    <w:name w:val="Heading 1 Char"/>
    <w:basedOn w:val="568"/>
    <w:link w:val="394"/>
    <w:uiPriority w:val="9"/>
    <w:rPr>
      <w:rFonts w:ascii="Arial" w:hAnsi="Arial" w:cs="Arial" w:eastAsia="Arial"/>
      <w:sz w:val="40"/>
      <w:szCs w:val="40"/>
    </w:rPr>
  </w:style>
  <w:style w:type="paragraph" w:styleId="396">
    <w:name w:val="Heading 2"/>
    <w:basedOn w:val="567"/>
    <w:next w:val="567"/>
    <w:link w:val="39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397">
    <w:name w:val="Heading 2 Char"/>
    <w:basedOn w:val="568"/>
    <w:link w:val="396"/>
    <w:uiPriority w:val="9"/>
    <w:rPr>
      <w:rFonts w:ascii="Arial" w:hAnsi="Arial" w:cs="Arial" w:eastAsia="Arial"/>
      <w:sz w:val="34"/>
    </w:rPr>
  </w:style>
  <w:style w:type="paragraph" w:styleId="398">
    <w:name w:val="Heading 3"/>
    <w:basedOn w:val="567"/>
    <w:next w:val="567"/>
    <w:link w:val="39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399">
    <w:name w:val="Heading 3 Char"/>
    <w:basedOn w:val="568"/>
    <w:link w:val="398"/>
    <w:uiPriority w:val="9"/>
    <w:rPr>
      <w:rFonts w:ascii="Arial" w:hAnsi="Arial" w:cs="Arial" w:eastAsia="Arial"/>
      <w:sz w:val="30"/>
      <w:szCs w:val="30"/>
    </w:rPr>
  </w:style>
  <w:style w:type="paragraph" w:styleId="400">
    <w:name w:val="Heading 4"/>
    <w:basedOn w:val="567"/>
    <w:next w:val="567"/>
    <w:link w:val="40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01">
    <w:name w:val="Heading 4 Char"/>
    <w:basedOn w:val="568"/>
    <w:link w:val="400"/>
    <w:uiPriority w:val="9"/>
    <w:rPr>
      <w:rFonts w:ascii="Arial" w:hAnsi="Arial" w:cs="Arial" w:eastAsia="Arial"/>
      <w:b/>
      <w:bCs/>
      <w:sz w:val="26"/>
      <w:szCs w:val="26"/>
    </w:rPr>
  </w:style>
  <w:style w:type="paragraph" w:styleId="402">
    <w:name w:val="Heading 5"/>
    <w:basedOn w:val="567"/>
    <w:next w:val="567"/>
    <w:link w:val="40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03">
    <w:name w:val="Heading 5 Char"/>
    <w:basedOn w:val="568"/>
    <w:link w:val="402"/>
    <w:uiPriority w:val="9"/>
    <w:rPr>
      <w:rFonts w:ascii="Arial" w:hAnsi="Arial" w:cs="Arial" w:eastAsia="Arial"/>
      <w:b/>
      <w:bCs/>
      <w:sz w:val="24"/>
      <w:szCs w:val="24"/>
    </w:rPr>
  </w:style>
  <w:style w:type="paragraph" w:styleId="404">
    <w:name w:val="Heading 6"/>
    <w:basedOn w:val="567"/>
    <w:next w:val="567"/>
    <w:link w:val="40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05">
    <w:name w:val="Heading 6 Char"/>
    <w:basedOn w:val="568"/>
    <w:link w:val="404"/>
    <w:uiPriority w:val="9"/>
    <w:rPr>
      <w:rFonts w:ascii="Arial" w:hAnsi="Arial" w:cs="Arial" w:eastAsia="Arial"/>
      <w:b/>
      <w:bCs/>
      <w:sz w:val="22"/>
      <w:szCs w:val="22"/>
    </w:rPr>
  </w:style>
  <w:style w:type="paragraph" w:styleId="406">
    <w:name w:val="Heading 7"/>
    <w:basedOn w:val="567"/>
    <w:next w:val="567"/>
    <w:link w:val="40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07">
    <w:name w:val="Heading 7 Char"/>
    <w:basedOn w:val="568"/>
    <w:link w:val="40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08">
    <w:name w:val="Heading 8"/>
    <w:basedOn w:val="567"/>
    <w:next w:val="567"/>
    <w:link w:val="40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09">
    <w:name w:val="Heading 8 Char"/>
    <w:basedOn w:val="568"/>
    <w:link w:val="408"/>
    <w:uiPriority w:val="9"/>
    <w:rPr>
      <w:rFonts w:ascii="Arial" w:hAnsi="Arial" w:cs="Arial" w:eastAsia="Arial"/>
      <w:i/>
      <w:iCs/>
      <w:sz w:val="22"/>
      <w:szCs w:val="22"/>
    </w:rPr>
  </w:style>
  <w:style w:type="paragraph" w:styleId="410">
    <w:name w:val="Heading 9"/>
    <w:basedOn w:val="567"/>
    <w:next w:val="567"/>
    <w:link w:val="41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11">
    <w:name w:val="Heading 9 Char"/>
    <w:basedOn w:val="568"/>
    <w:link w:val="410"/>
    <w:uiPriority w:val="9"/>
    <w:rPr>
      <w:rFonts w:ascii="Arial" w:hAnsi="Arial" w:cs="Arial" w:eastAsia="Arial"/>
      <w:i/>
      <w:iCs/>
      <w:sz w:val="21"/>
      <w:szCs w:val="21"/>
    </w:rPr>
  </w:style>
  <w:style w:type="paragraph" w:styleId="412">
    <w:name w:val="No Spacing"/>
    <w:qFormat/>
    <w:uiPriority w:val="1"/>
    <w:pPr>
      <w:spacing w:lineRule="auto" w:line="240" w:after="0" w:before="0"/>
    </w:pPr>
  </w:style>
  <w:style w:type="paragraph" w:styleId="413">
    <w:name w:val="Title"/>
    <w:basedOn w:val="567"/>
    <w:next w:val="567"/>
    <w:link w:val="41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14">
    <w:name w:val="Title Char"/>
    <w:basedOn w:val="568"/>
    <w:link w:val="413"/>
    <w:uiPriority w:val="10"/>
    <w:rPr>
      <w:sz w:val="48"/>
      <w:szCs w:val="48"/>
    </w:rPr>
  </w:style>
  <w:style w:type="paragraph" w:styleId="415">
    <w:name w:val="Subtitle"/>
    <w:basedOn w:val="567"/>
    <w:next w:val="567"/>
    <w:link w:val="416"/>
    <w:qFormat/>
    <w:uiPriority w:val="11"/>
    <w:rPr>
      <w:sz w:val="24"/>
      <w:szCs w:val="24"/>
    </w:rPr>
    <w:pPr>
      <w:spacing w:after="200" w:before="200"/>
    </w:pPr>
  </w:style>
  <w:style w:type="character" w:styleId="416">
    <w:name w:val="Subtitle Char"/>
    <w:basedOn w:val="568"/>
    <w:link w:val="415"/>
    <w:uiPriority w:val="11"/>
    <w:rPr>
      <w:sz w:val="24"/>
      <w:szCs w:val="24"/>
    </w:rPr>
  </w:style>
  <w:style w:type="paragraph" w:styleId="417">
    <w:name w:val="Quote"/>
    <w:basedOn w:val="567"/>
    <w:next w:val="567"/>
    <w:link w:val="418"/>
    <w:qFormat/>
    <w:uiPriority w:val="29"/>
    <w:rPr>
      <w:i/>
    </w:rPr>
    <w:pPr>
      <w:ind w:left="720" w:right="720"/>
    </w:pPr>
  </w:style>
  <w:style w:type="character" w:styleId="418">
    <w:name w:val="Quote Char"/>
    <w:link w:val="417"/>
    <w:uiPriority w:val="29"/>
    <w:rPr>
      <w:i/>
    </w:rPr>
  </w:style>
  <w:style w:type="paragraph" w:styleId="419">
    <w:name w:val="Intense Quote"/>
    <w:basedOn w:val="567"/>
    <w:next w:val="567"/>
    <w:link w:val="420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20">
    <w:name w:val="Intense Quote Char"/>
    <w:link w:val="419"/>
    <w:uiPriority w:val="30"/>
    <w:rPr>
      <w:i/>
    </w:rPr>
  </w:style>
  <w:style w:type="paragraph" w:styleId="421">
    <w:name w:val="Header"/>
    <w:basedOn w:val="567"/>
    <w:link w:val="42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22">
    <w:name w:val="Header Char"/>
    <w:basedOn w:val="568"/>
    <w:link w:val="421"/>
    <w:uiPriority w:val="99"/>
  </w:style>
  <w:style w:type="paragraph" w:styleId="423">
    <w:name w:val="Footer"/>
    <w:basedOn w:val="567"/>
    <w:link w:val="42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24">
    <w:name w:val="Footer Char"/>
    <w:basedOn w:val="568"/>
    <w:link w:val="423"/>
    <w:uiPriority w:val="99"/>
  </w:style>
  <w:style w:type="paragraph" w:styleId="425">
    <w:name w:val="Caption"/>
    <w:basedOn w:val="567"/>
    <w:next w:val="56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26">
    <w:name w:val="Caption Char"/>
    <w:basedOn w:val="425"/>
    <w:link w:val="423"/>
    <w:uiPriority w:val="99"/>
  </w:style>
  <w:style w:type="table" w:styleId="427">
    <w:name w:val="Table Grid"/>
    <w:basedOn w:val="56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8">
    <w:name w:val="Table Grid Light"/>
    <w:basedOn w:val="56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9">
    <w:name w:val="Plain Table 1"/>
    <w:basedOn w:val="56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0">
    <w:name w:val="Plain Table 2"/>
    <w:basedOn w:val="56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1">
    <w:name w:val="Plain Table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32">
    <w:name w:val="Plain Table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3">
    <w:name w:val="Plain Table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34">
    <w:name w:val="Grid Table 1 Light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5">
    <w:name w:val="Grid Table 1 Light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6">
    <w:name w:val="Grid Table 1 Light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7">
    <w:name w:val="Grid Table 1 Light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8">
    <w:name w:val="Grid Table 1 Light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9">
    <w:name w:val="Grid Table 1 Light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0">
    <w:name w:val="Grid Table 1 Light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Grid Table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42">
    <w:name w:val="Grid Table 2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2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2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2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2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47">
    <w:name w:val="Grid Table 2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3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Grid Table 3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1">
    <w:name w:val="Grid Table 3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2">
    <w:name w:val="Grid Table 3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3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3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4"/>
    <w:basedOn w:val="5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56">
    <w:name w:val="Grid Table 4 - Accent 1"/>
    <w:basedOn w:val="5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57">
    <w:name w:val="Grid Table 4 - Accent 2"/>
    <w:basedOn w:val="5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58">
    <w:name w:val="Grid Table 4 - Accent 3"/>
    <w:basedOn w:val="5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59">
    <w:name w:val="Grid Table 4 - Accent 4"/>
    <w:basedOn w:val="5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60">
    <w:name w:val="Grid Table 4 - Accent 5"/>
    <w:basedOn w:val="5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61">
    <w:name w:val="Grid Table 4 - Accent 6"/>
    <w:basedOn w:val="56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62">
    <w:name w:val="Grid Table 5 Dark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63">
    <w:name w:val="Grid Table 5 Dark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64">
    <w:name w:val="Grid Table 5 Dark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65">
    <w:name w:val="Grid Table 5 Dark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66">
    <w:name w:val="Grid Table 5 Dark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67">
    <w:name w:val="Grid Table 5 Dark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68">
    <w:name w:val="Grid Table 5 Dark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69">
    <w:name w:val="Grid Table 6 Colorful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70">
    <w:name w:val="Grid Table 6 Colorful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71">
    <w:name w:val="Grid Table 6 Colorful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72">
    <w:name w:val="Grid Table 6 Colorful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73">
    <w:name w:val="Grid Table 6 Colorful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74">
    <w:name w:val="Grid Table 6 Colorful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5">
    <w:name w:val="Grid Table 6 Colorful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6">
    <w:name w:val="Grid Table 7 Colorful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Grid Table 7 Colorful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Grid Table 7 Colorful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Grid Table 7 Colorful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Grid Table 7 Colorful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Grid Table 7 Colorful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Grid Table 7 Colorful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List Table 1 Light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List Table 1 Light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85">
    <w:name w:val="List Table 1 Light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86">
    <w:name w:val="List Table 1 Light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87">
    <w:name w:val="List Table 1 Light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List Table 1 Light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List Table 1 Light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List Table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91">
    <w:name w:val="List Table 2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92">
    <w:name w:val="List Table 2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93">
    <w:name w:val="List Table 2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94">
    <w:name w:val="List Table 2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95">
    <w:name w:val="List Table 2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96">
    <w:name w:val="List Table 2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97">
    <w:name w:val="List Table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List Table 3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3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3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3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3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>
    <w:name w:val="List Table 3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4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>
    <w:name w:val="List Table 4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>
    <w:name w:val="List Table 4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>
    <w:name w:val="List Table 4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4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4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5 Dark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2">
    <w:name w:val="List Table 5 Dark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3">
    <w:name w:val="List Table 5 Dark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4">
    <w:name w:val="List Table 5 Dark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5">
    <w:name w:val="List Table 5 Dark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6">
    <w:name w:val="List Table 5 Dark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7">
    <w:name w:val="List Table 5 Dark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8">
    <w:name w:val="List Table 6 Colorful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19">
    <w:name w:val="List Table 6 Colorful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20">
    <w:name w:val="List Table 6 Colorful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21">
    <w:name w:val="List Table 6 Colorful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22">
    <w:name w:val="List Table 6 Colorful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23">
    <w:name w:val="List Table 6 Colorful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24">
    <w:name w:val="List Table 6 Colorful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25">
    <w:name w:val="List Table 7 Colorful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26">
    <w:name w:val="List Table 7 Colorful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27">
    <w:name w:val="List Table 7 Colorful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28">
    <w:name w:val="List Table 7 Colorful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29">
    <w:name w:val="List Table 7 Colorful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30">
    <w:name w:val="List Table 7 Colorful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31">
    <w:name w:val="List Table 7 Colorful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32">
    <w:name w:val="Lined - Accent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3">
    <w:name w:val="Lined - Accent 1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4">
    <w:name w:val="Lined - Accent 2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5">
    <w:name w:val="Lined - Accent 3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6">
    <w:name w:val="Lined - Accent 4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7">
    <w:name w:val="Lined - Accent 5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8">
    <w:name w:val="Lined - Accent 6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9">
    <w:name w:val="Bordered &amp; Lined - Accent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0">
    <w:name w:val="Bordered &amp; Lined - Accent 1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1">
    <w:name w:val="Bordered &amp; Lined - Accent 2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2">
    <w:name w:val="Bordered &amp; Lined - Accent 3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3">
    <w:name w:val="Bordered &amp; Lined - Accent 4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4">
    <w:name w:val="Bordered &amp; Lined - Accent 5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5">
    <w:name w:val="Bordered &amp; Lined - Accent 6"/>
    <w:basedOn w:val="56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6">
    <w:name w:val="Bordered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47">
    <w:name w:val="Bordered - Accent 1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48">
    <w:name w:val="Bordered - Accent 2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49">
    <w:name w:val="Bordered - Accent 3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50">
    <w:name w:val="Bordered - Accent 4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51">
    <w:name w:val="Bordered - Accent 5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52">
    <w:name w:val="Bordered - Accent 6"/>
    <w:basedOn w:val="56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53">
    <w:name w:val="Hyperlink"/>
    <w:uiPriority w:val="99"/>
    <w:unhideWhenUsed/>
    <w:rPr>
      <w:color w:val="0000FF" w:themeColor="hyperlink"/>
      <w:u w:val="single"/>
    </w:rPr>
  </w:style>
  <w:style w:type="paragraph" w:styleId="554">
    <w:name w:val="footnote text"/>
    <w:basedOn w:val="567"/>
    <w:link w:val="555"/>
    <w:uiPriority w:val="99"/>
    <w:semiHidden/>
    <w:unhideWhenUsed/>
    <w:rPr>
      <w:sz w:val="18"/>
    </w:rPr>
    <w:pPr>
      <w:spacing w:lineRule="auto" w:line="240" w:after="40"/>
    </w:pPr>
  </w:style>
  <w:style w:type="character" w:styleId="555">
    <w:name w:val="Footnote Text Char"/>
    <w:link w:val="554"/>
    <w:uiPriority w:val="99"/>
    <w:rPr>
      <w:sz w:val="18"/>
    </w:rPr>
  </w:style>
  <w:style w:type="character" w:styleId="556">
    <w:name w:val="footnote reference"/>
    <w:basedOn w:val="568"/>
    <w:uiPriority w:val="99"/>
    <w:unhideWhenUsed/>
    <w:rPr>
      <w:vertAlign w:val="superscript"/>
    </w:rPr>
  </w:style>
  <w:style w:type="paragraph" w:styleId="557">
    <w:name w:val="toc 1"/>
    <w:basedOn w:val="567"/>
    <w:next w:val="567"/>
    <w:uiPriority w:val="39"/>
    <w:unhideWhenUsed/>
    <w:pPr>
      <w:ind w:left="0" w:right="0" w:firstLine="0"/>
      <w:spacing w:after="57"/>
    </w:pPr>
  </w:style>
  <w:style w:type="paragraph" w:styleId="558">
    <w:name w:val="toc 2"/>
    <w:basedOn w:val="567"/>
    <w:next w:val="567"/>
    <w:uiPriority w:val="39"/>
    <w:unhideWhenUsed/>
    <w:pPr>
      <w:ind w:left="283" w:right="0" w:firstLine="0"/>
      <w:spacing w:after="57"/>
    </w:pPr>
  </w:style>
  <w:style w:type="paragraph" w:styleId="559">
    <w:name w:val="toc 3"/>
    <w:basedOn w:val="567"/>
    <w:next w:val="567"/>
    <w:uiPriority w:val="39"/>
    <w:unhideWhenUsed/>
    <w:pPr>
      <w:ind w:left="567" w:right="0" w:firstLine="0"/>
      <w:spacing w:after="57"/>
    </w:pPr>
  </w:style>
  <w:style w:type="paragraph" w:styleId="560">
    <w:name w:val="toc 4"/>
    <w:basedOn w:val="567"/>
    <w:next w:val="567"/>
    <w:uiPriority w:val="39"/>
    <w:unhideWhenUsed/>
    <w:pPr>
      <w:ind w:left="850" w:right="0" w:firstLine="0"/>
      <w:spacing w:after="57"/>
    </w:pPr>
  </w:style>
  <w:style w:type="paragraph" w:styleId="561">
    <w:name w:val="toc 5"/>
    <w:basedOn w:val="567"/>
    <w:next w:val="567"/>
    <w:uiPriority w:val="39"/>
    <w:unhideWhenUsed/>
    <w:pPr>
      <w:ind w:left="1134" w:right="0" w:firstLine="0"/>
      <w:spacing w:after="57"/>
    </w:pPr>
  </w:style>
  <w:style w:type="paragraph" w:styleId="562">
    <w:name w:val="toc 6"/>
    <w:basedOn w:val="567"/>
    <w:next w:val="567"/>
    <w:uiPriority w:val="39"/>
    <w:unhideWhenUsed/>
    <w:pPr>
      <w:ind w:left="1417" w:right="0" w:firstLine="0"/>
      <w:spacing w:after="57"/>
    </w:pPr>
  </w:style>
  <w:style w:type="paragraph" w:styleId="563">
    <w:name w:val="toc 7"/>
    <w:basedOn w:val="567"/>
    <w:next w:val="567"/>
    <w:uiPriority w:val="39"/>
    <w:unhideWhenUsed/>
    <w:pPr>
      <w:ind w:left="1701" w:right="0" w:firstLine="0"/>
      <w:spacing w:after="57"/>
    </w:pPr>
  </w:style>
  <w:style w:type="paragraph" w:styleId="564">
    <w:name w:val="toc 8"/>
    <w:basedOn w:val="567"/>
    <w:next w:val="567"/>
    <w:uiPriority w:val="39"/>
    <w:unhideWhenUsed/>
    <w:pPr>
      <w:ind w:left="1984" w:right="0" w:firstLine="0"/>
      <w:spacing w:after="57"/>
    </w:pPr>
  </w:style>
  <w:style w:type="paragraph" w:styleId="565">
    <w:name w:val="toc 9"/>
    <w:basedOn w:val="567"/>
    <w:next w:val="567"/>
    <w:uiPriority w:val="39"/>
    <w:unhideWhenUsed/>
    <w:pPr>
      <w:ind w:left="2268" w:right="0" w:firstLine="0"/>
      <w:spacing w:after="57"/>
    </w:pPr>
  </w:style>
  <w:style w:type="paragraph" w:styleId="566">
    <w:name w:val="TOC Heading"/>
    <w:uiPriority w:val="39"/>
    <w:unhideWhenUsed/>
  </w:style>
  <w:style w:type="paragraph" w:styleId="567" w:default="1">
    <w:name w:val="Normal"/>
    <w:qFormat/>
  </w:style>
  <w:style w:type="character" w:styleId="568" w:default="1">
    <w:name w:val="Default Paragraph Font"/>
    <w:uiPriority w:val="1"/>
    <w:unhideWhenUsed/>
  </w:style>
  <w:style w:type="table" w:styleId="5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70" w:default="1">
    <w:name w:val="No List"/>
    <w:uiPriority w:val="99"/>
    <w:semiHidden/>
    <w:unhideWhenUsed/>
  </w:style>
  <w:style w:type="paragraph" w:styleId="571" w:customStyle="1">
    <w:name w:val="ConsPlusNormal"/>
    <w:link w:val="572"/>
    <w:rPr>
      <w:rFonts w:ascii="Times New Roman" w:hAnsi="Times New Roman" w:cs="Times New Roman"/>
      <w:sz w:val="28"/>
      <w:szCs w:val="28"/>
    </w:rPr>
  </w:style>
  <w:style w:type="character" w:styleId="572" w:customStyle="1">
    <w:name w:val="ConsPlusNormal Знак"/>
    <w:link w:val="571"/>
    <w:rPr>
      <w:rFonts w:ascii="Times New Roman" w:hAnsi="Times New Roman" w:cs="Times New Roman"/>
      <w:sz w:val="28"/>
      <w:szCs w:val="28"/>
    </w:rPr>
  </w:style>
  <w:style w:type="paragraph" w:styleId="573">
    <w:name w:val="List Paragraph"/>
    <w:basedOn w:val="567"/>
    <w:qFormat/>
    <w:uiPriority w:val="34"/>
    <w:pPr>
      <w:contextualSpacing w:val="true"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Р7-Офис/5.5.4.20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revision>29</cp:revision>
  <dcterms:created xsi:type="dcterms:W3CDTF">2019-10-08T04:18:00Z</dcterms:created>
  <dcterms:modified xsi:type="dcterms:W3CDTF">2021-11-02T05:23:00Z</dcterms:modified>
</cp:coreProperties>
</file>