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2"/>
        <w:ind w:firstLine="0"/>
        <w:jc w:val="left"/>
        <w:spacing w:lineRule="exact" w:line="360" w:after="0" w:befor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</w:r>
      <w:r/>
    </w:p>
    <w:p>
      <w:pPr>
        <w:pStyle w:val="662"/>
        <w:ind w:firstLine="0"/>
        <w:spacing w:lineRule="exact" w:line="360" w:after="0" w:befor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  <w:r/>
    </w:p>
    <w:p>
      <w:pPr>
        <w:pStyle w:val="662"/>
        <w:ind w:firstLine="0"/>
        <w:spacing w:lineRule="exact" w:line="360" w:after="0" w:befor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ТОМСКОЙ ОБЛАСТИ</w:t>
      </w:r>
      <w:r/>
    </w:p>
    <w:p>
      <w:pPr>
        <w:pStyle w:val="662"/>
        <w:ind w:firstLine="0"/>
        <w:spacing w:after="0" w:before="0"/>
        <w:rPr>
          <w:rFonts w:ascii="PT Astra Serif" w:hAnsi="PT Astra Serif"/>
          <w:spacing w:val="20"/>
          <w:sz w:val="30"/>
          <w:szCs w:val="30"/>
        </w:rPr>
      </w:pPr>
      <w:r>
        <w:rPr>
          <w:rFonts w:ascii="PT Astra Serif" w:hAnsi="PT Astra Serif"/>
          <w:spacing w:val="20"/>
          <w:sz w:val="30"/>
          <w:szCs w:val="30"/>
        </w:rPr>
      </w:r>
      <w:r/>
    </w:p>
    <w:p>
      <w:pPr>
        <w:pStyle w:val="662"/>
        <w:ind w:firstLine="0"/>
        <w:spacing w:after="0" w:before="0"/>
        <w:rPr>
          <w:rFonts w:ascii="PT Astra Serif" w:hAnsi="PT Astra Serif"/>
          <w:spacing w:val="20"/>
          <w:sz w:val="30"/>
          <w:szCs w:val="30"/>
        </w:rPr>
      </w:pPr>
      <w:r>
        <w:rPr>
          <w:rFonts w:ascii="PT Astra Serif" w:hAnsi="PT Astra Serif"/>
          <w:spacing w:val="20"/>
          <w:sz w:val="30"/>
          <w:szCs w:val="30"/>
        </w:rPr>
        <w:t xml:space="preserve">РАспоряжение</w:t>
      </w:r>
      <w:r/>
    </w:p>
    <w:p>
      <w:pPr>
        <w:pStyle w:val="662"/>
        <w:ind w:firstLine="0"/>
        <w:jc w:val="both"/>
        <w:spacing w:after="0" w:before="240"/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  ________                                                                                                                       №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Программы профилактики </w:t>
      </w:r>
      <w:r>
        <w:rPr>
          <w:rFonts w:ascii="PT Astra Serif" w:hAnsi="PT Astra Serif" w:cs="PT Astra Serif"/>
          <w:sz w:val="26"/>
          <w:szCs w:val="26"/>
        </w:rPr>
        <w:t xml:space="preserve">рисков причинения вреда (ущерба) охраняемым законом ценностям на 2022 год в рамках осуществления регионального государственного контроля (надзора) в сфере социального обслуживания на территории Томской области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2 статьи 44 Федеральн</w:t>
      </w:r>
      <w:r>
        <w:rPr>
          <w:rFonts w:ascii="PT Astra Serif" w:hAnsi="PT Astra Serif"/>
          <w:sz w:val="26"/>
          <w:szCs w:val="26"/>
        </w:rPr>
        <w:t xml:space="preserve">ого закона от 31 июля 2020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года</w:t>
      </w:r>
      <w:r>
        <w:rPr>
          <w:rFonts w:ascii="PT Astra Serif" w:hAnsi="PT Astra Serif"/>
          <w:sz w:val="26"/>
          <w:szCs w:val="26"/>
        </w:rPr>
        <w:t xml:space="preserve"> № 248-ФЗ «О государственном контроле (надзоре) и муниципальном контроле в Российской Федерации», Правилами разработки и утверждения контрольными (надзорными) органами программы профилактики рисков причинения вреда (ущерба) охраня</w:t>
      </w:r>
      <w:r>
        <w:rPr>
          <w:rFonts w:ascii="PT Astra Serif" w:hAnsi="PT Astra Serif"/>
          <w:sz w:val="26"/>
          <w:szCs w:val="26"/>
        </w:rPr>
        <w:t xml:space="preserve">емым законом ценностям, утвержденными постановлением Правительства Российской Федерации от 25.06.2021 № 990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1.Утвердить Программу профилактики </w:t>
      </w:r>
      <w:r>
        <w:rPr>
          <w:rFonts w:ascii="PT Astra Serif" w:hAnsi="PT Astra Serif" w:cs="PT Astra Serif"/>
          <w:sz w:val="26"/>
          <w:szCs w:val="26"/>
        </w:rPr>
        <w:t xml:space="preserve">рисков причинения вреда (ущерба) охраняемым законом ценностям на 2022 год в рамках осуществления регионального го</w:t>
      </w:r>
      <w:r>
        <w:rPr>
          <w:rFonts w:ascii="PT Astra Serif" w:hAnsi="PT Astra Serif" w:cs="PT Astra Serif"/>
          <w:sz w:val="26"/>
          <w:szCs w:val="26"/>
        </w:rPr>
        <w:t xml:space="preserve">сударственного контроля (надзора) в сфере социального обслуживания 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согласно приложению к настоящему распоряжению.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Отделу контроля и надзора:</w:t>
      </w:r>
      <w:r/>
    </w:p>
    <w:p>
      <w:pPr>
        <w:pStyle w:val="667"/>
        <w:ind w:firstLine="709"/>
        <w:jc w:val="both"/>
        <w:tabs>
          <w:tab w:val="left" w:pos="567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2.1</w:t>
      </w:r>
      <w:r>
        <w:rPr>
          <w:rFonts w:ascii="PT Astra Serif" w:hAnsi="PT Astra Serif" w:cs="Times New Roman"/>
          <w:sz w:val="26"/>
          <w:szCs w:val="26"/>
        </w:rPr>
        <w:t xml:space="preserve">. о</w:t>
      </w:r>
      <w:r>
        <w:rPr>
          <w:rFonts w:ascii="PT Astra Serif" w:hAnsi="PT Astra Serif" w:cs="Times New Roman"/>
          <w:sz w:val="26"/>
          <w:szCs w:val="26"/>
        </w:rPr>
        <w:t xml:space="preserve">рганизовать</w:t>
      </w:r>
      <w:r>
        <w:rPr>
          <w:rFonts w:ascii="PT Astra Serif" w:hAnsi="PT Astra Serif" w:cs="Times New Roman"/>
          <w:sz w:val="26"/>
          <w:szCs w:val="26"/>
        </w:rPr>
        <w:t xml:space="preserve"> размещение настоящего распоряжения на официальном сайте Департам</w:t>
      </w:r>
      <w:r>
        <w:rPr>
          <w:rFonts w:ascii="PT Astra Serif" w:hAnsi="PT Astra Serif" w:cs="Times New Roman"/>
          <w:sz w:val="26"/>
          <w:szCs w:val="26"/>
        </w:rPr>
        <w:t xml:space="preserve">ента социальной защиты населения Томской области в целях проведения общественного обсуждения;</w:t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2.2</w:t>
      </w:r>
      <w:r>
        <w:rPr>
          <w:rFonts w:ascii="PT Astra Serif" w:hAnsi="PT Astra Serif" w:cs="Times New Roman"/>
          <w:sz w:val="26"/>
          <w:szCs w:val="26"/>
        </w:rPr>
        <w:t xml:space="preserve">. о</w:t>
      </w:r>
      <w:r>
        <w:rPr>
          <w:rFonts w:ascii="PT Astra Serif" w:hAnsi="PT Astra Serif" w:cs="Times New Roman"/>
          <w:sz w:val="26"/>
          <w:szCs w:val="26"/>
        </w:rPr>
        <w:t xml:space="preserve">беспечить</w:t>
      </w:r>
      <w:r>
        <w:rPr>
          <w:rFonts w:ascii="PT Astra Serif" w:hAnsi="PT Astra Serif" w:cs="Times New Roman"/>
          <w:sz w:val="26"/>
          <w:szCs w:val="26"/>
        </w:rPr>
        <w:t xml:space="preserve"> своевременную реализацию настоящего распоряжения.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Контроль за исполнением настоящего распоряжения оставляю за собой.</w:t>
      </w:r>
      <w:r/>
    </w:p>
    <w:p>
      <w:pPr>
        <w:jc w:val="both"/>
        <w:tabs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Д</w:t>
      </w:r>
      <w:r>
        <w:rPr>
          <w:rFonts w:ascii="PT Astra Serif" w:hAnsi="PT Astra Serif"/>
          <w:sz w:val="26"/>
          <w:szCs w:val="26"/>
        </w:rPr>
        <w:t xml:space="preserve">епартамента                                                                            М.А. </w:t>
      </w:r>
      <w:r>
        <w:rPr>
          <w:rFonts w:ascii="PT Astra Serif" w:hAnsi="PT Astra Serif"/>
          <w:sz w:val="26"/>
          <w:szCs w:val="26"/>
        </w:rPr>
        <w:t xml:space="preserve">Киняйкина</w:t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5387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tabs>
          <w:tab w:val="left" w:pos="5387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УТВЕРЖДЕНА</w:t>
      </w:r>
      <w:r/>
    </w:p>
    <w:p>
      <w:pPr>
        <w:ind w:left="5387" w:right="848"/>
        <w:jc w:val="both"/>
        <w:tabs>
          <w:tab w:val="left" w:pos="7513" w:leader="none"/>
          <w:tab w:val="left" w:pos="7655" w:leader="none"/>
          <w:tab w:val="left" w:pos="8080" w:leader="none"/>
          <w:tab w:val="left" w:pos="8222" w:leader="none"/>
          <w:tab w:val="left" w:pos="9214" w:leader="none"/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распоряжением</w:t>
      </w:r>
      <w:r>
        <w:rPr>
          <w:rFonts w:ascii="PT Astra Serif" w:hAnsi="PT Astra Serif"/>
          <w:sz w:val="26"/>
          <w:szCs w:val="26"/>
        </w:rPr>
        <w:t xml:space="preserve"> Департамента     социальной защиты населения </w:t>
      </w:r>
      <w:r/>
    </w:p>
    <w:p>
      <w:pPr>
        <w:ind w:left="5387"/>
        <w:jc w:val="both"/>
        <w:tabs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/>
    </w:p>
    <w:p>
      <w:pPr>
        <w:ind w:left="5387"/>
        <w:jc w:val="both"/>
        <w:tabs>
          <w:tab w:val="righ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_</w:t>
      </w:r>
      <w:r>
        <w:rPr>
          <w:rFonts w:ascii="PT Astra Serif" w:hAnsi="PT Astra Serif"/>
          <w:sz w:val="26"/>
          <w:szCs w:val="26"/>
        </w:rPr>
        <w:t xml:space="preserve">______________    № _______</w:t>
      </w:r>
      <w:r/>
    </w:p>
    <w:p>
      <w:pPr>
        <w:jc w:val="both"/>
        <w:tabs>
          <w:tab w:val="left" w:pos="8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Программа профилактики </w:t>
      </w:r>
      <w:r>
        <w:rPr>
          <w:rFonts w:ascii="PT Astra Serif" w:hAnsi="PT Astra Serif" w:cs="PT Astra Serif"/>
          <w:sz w:val="26"/>
          <w:szCs w:val="26"/>
        </w:rPr>
        <w:t xml:space="preserve">рисков причинения вреда (ущерба) охраняемым законом ценностям на 2022 год в рамках осуществления регионального государственного контроля (надзора) в сфере социального обслуживания на территории Томской области</w:t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67"/>
        <w:ind w:firstLine="0"/>
        <w:jc w:val="center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  <w:t xml:space="preserve">1. Общие положения</w:t>
      </w:r>
      <w:r/>
    </w:p>
    <w:p>
      <w:pPr>
        <w:pStyle w:val="670"/>
        <w:jc w:val="both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Программа профилактики </w:t>
      </w:r>
      <w:r>
        <w:rPr>
          <w:rFonts w:ascii="PT Astra Serif" w:hAnsi="PT Astra Serif" w:cs="PT Astra Serif"/>
          <w:sz w:val="26"/>
          <w:szCs w:val="26"/>
        </w:rPr>
        <w:t xml:space="preserve">рисков причинения вреда (ущерба) охраняемым законом ценностям на 2022 год в рамках осуществления регионального государственного контроля (надзора) в сфере социального обслуживания</w:t>
      </w:r>
      <w:r>
        <w:rPr>
          <w:rFonts w:ascii="PT Astra Serif" w:hAnsi="PT Astra Serif"/>
          <w:sz w:val="26"/>
          <w:szCs w:val="26"/>
        </w:rPr>
        <w:t xml:space="preserve"> (далее -  Программа профилактики) разработана с це</w:t>
      </w:r>
      <w:r>
        <w:rPr>
          <w:rFonts w:ascii="PT Astra Serif" w:hAnsi="PT Astra Serif"/>
          <w:sz w:val="26"/>
          <w:szCs w:val="26"/>
        </w:rPr>
        <w:t xml:space="preserve">лью формирования системы и единых подходов к профилактике </w:t>
      </w:r>
      <w:r>
        <w:rPr>
          <w:rFonts w:ascii="PT Astra Serif" w:hAnsi="PT Astra Serif" w:cs="PT Astra Serif"/>
          <w:sz w:val="26"/>
          <w:szCs w:val="26"/>
        </w:rPr>
        <w:t xml:space="preserve">рисков причинения вреда (ущерба) охраняемым законом ценностям</w:t>
      </w:r>
      <w:r>
        <w:rPr>
          <w:rFonts w:ascii="PT Astra Serif" w:hAnsi="PT Astra Serif"/>
          <w:sz w:val="26"/>
          <w:szCs w:val="26"/>
        </w:rPr>
        <w:t xml:space="preserve"> при осуществлении регионального государственного контроля (надзора) в сфере социального обслуживания в отношении поставщиков социальных </w:t>
      </w:r>
      <w:r>
        <w:rPr>
          <w:rFonts w:ascii="PT Astra Serif" w:hAnsi="PT Astra Serif"/>
          <w:sz w:val="26"/>
          <w:szCs w:val="26"/>
        </w:rPr>
        <w:t xml:space="preserve">услуг, осуществляющих социальное обслуживание в отношении совершеннолетних граждан на территории Томской области.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Программа профилактики разработана в соответствии со</w:t>
      </w:r>
      <w:hyperlink r:id="rId10" w:tooltip="consultantplus://offline/ref=B3D1FAD02E1FFD7112884EF471F5F8A2BB7B6670822059707AA0A04EC0F41D2232C1AE343BBB399EBB5D397EF76BFD8D5277770A0Ah0g9L" w:history="1">
        <w:r>
          <w:rPr>
            <w:rFonts w:ascii="PT Astra Serif" w:hAnsi="PT Astra Serif"/>
            <w:sz w:val="26"/>
            <w:szCs w:val="26"/>
          </w:rPr>
          <w:t xml:space="preserve"> статьей 44</w:t>
        </w:r>
      </w:hyperlink>
      <w:r>
        <w:rPr>
          <w:rFonts w:ascii="PT Astra Serif" w:hAnsi="PT Astra Serif"/>
          <w:sz w:val="26"/>
          <w:szCs w:val="26"/>
        </w:rPr>
        <w:t xml:space="preserve"> Федерального закона от 31 июля </w:t>
      </w:r>
      <w:r>
        <w:rPr>
          <w:rFonts w:ascii="PT Astra Serif" w:hAnsi="PT Astra Serif"/>
          <w:sz w:val="26"/>
          <w:szCs w:val="26"/>
        </w:rPr>
        <w:t xml:space="preserve">2020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</w:t>
      </w:r>
      <w:r>
        <w:rPr>
          <w:rFonts w:ascii="PT Astra Serif" w:hAnsi="PT Astra Serif"/>
          <w:sz w:val="26"/>
          <w:szCs w:val="26"/>
        </w:rPr>
        <w:t xml:space="preserve">рограммы профилактики рисков причинения вреда».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Сроки и этапы реализации программы: 2022 год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  <w:outlineLvl w:val="1"/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2. Анализ текущего состояния осуществления регионального государственного контроля (надзора) в сфере социального обслуживания, описание текущего уровня развити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я профилактической деятельности, характеристика проблем, на решение которых направлена программа профилактики </w:t>
      </w:r>
      <w:r/>
    </w:p>
    <w:p>
      <w:pPr>
        <w:pStyle w:val="667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 Департамент социальной защиты населения Томской области (далее – Департамент) является уполномоченным органом исполнительной власти Томской о</w:t>
      </w:r>
      <w:r>
        <w:rPr>
          <w:rFonts w:ascii="PT Astra Serif" w:hAnsi="PT Astra Serif" w:cs="Times New Roman"/>
          <w:sz w:val="26"/>
          <w:szCs w:val="26"/>
        </w:rPr>
        <w:t xml:space="preserve">бласти по осуществлению регионального государственного контроля (надзора) </w:t>
      </w:r>
      <w:r>
        <w:rPr>
          <w:rFonts w:ascii="PT Astra Serif" w:hAnsi="PT Astra Serif" w:cs="Times New Roman"/>
          <w:bCs/>
          <w:sz w:val="26"/>
          <w:szCs w:val="26"/>
        </w:rPr>
        <w:t xml:space="preserve">за соблюдением требований законодательства Российской Федерации </w:t>
      </w:r>
      <w:r>
        <w:rPr>
          <w:rFonts w:ascii="PT Astra Serif" w:hAnsi="PT Astra Serif" w:cs="Times New Roman"/>
          <w:sz w:val="26"/>
          <w:szCs w:val="26"/>
        </w:rPr>
        <w:t xml:space="preserve">в сфере социального обслуживания в отношении поставщиков социальных услуг</w:t>
      </w:r>
      <w:r>
        <w:rPr>
          <w:rFonts w:ascii="PT Astra Serif" w:hAnsi="PT Astra Serif"/>
          <w:sz w:val="26"/>
          <w:szCs w:val="26"/>
        </w:rPr>
        <w:t xml:space="preserve">, осуществляющих социальное обслуживание в от</w:t>
      </w:r>
      <w:r>
        <w:rPr>
          <w:rFonts w:ascii="PT Astra Serif" w:hAnsi="PT Astra Serif"/>
          <w:sz w:val="26"/>
          <w:szCs w:val="26"/>
        </w:rPr>
        <w:t xml:space="preserve">ношении совершеннолетних граждан</w:t>
      </w:r>
      <w:r>
        <w:rPr>
          <w:rFonts w:ascii="PT Astra Serif" w:hAnsi="PT Astra Serif" w:cs="Times New Roman"/>
          <w:sz w:val="26"/>
          <w:szCs w:val="26"/>
        </w:rPr>
        <w:t xml:space="preserve"> на территории Томской области.</w:t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Региональный государственный контроль (надзор) </w:t>
      </w:r>
      <w:r>
        <w:rPr>
          <w:rFonts w:ascii="PT Astra Serif" w:hAnsi="PT Astra Serif"/>
          <w:bCs/>
          <w:sz w:val="26"/>
          <w:szCs w:val="26"/>
        </w:rPr>
        <w:t xml:space="preserve">за соблюдением требований законодательства Российской Федерации </w:t>
      </w:r>
      <w:r>
        <w:rPr>
          <w:rFonts w:ascii="PT Astra Serif" w:hAnsi="PT Astra Serif"/>
          <w:sz w:val="26"/>
          <w:szCs w:val="26"/>
        </w:rPr>
        <w:t xml:space="preserve">в сфере социального обслуживания в отношении поставщиков социальных услуг, осу</w:t>
      </w:r>
      <w:r>
        <w:rPr>
          <w:rFonts w:ascii="PT Astra Serif" w:hAnsi="PT Astra Serif"/>
          <w:sz w:val="26"/>
          <w:szCs w:val="26"/>
        </w:rPr>
        <w:t xml:space="preserve">ществляющих социальное обслуживание в отношении совершеннолетних граждан в Томской области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осуществляется в соответствии с Положением о </w:t>
      </w:r>
      <w:r>
        <w:rPr>
          <w:rFonts w:ascii="PT Astra Serif" w:hAnsi="PT Astra Serif"/>
          <w:bCs/>
          <w:sz w:val="26"/>
          <w:szCs w:val="26"/>
        </w:rPr>
        <w:t xml:space="preserve">региональном государственном контроле (надзоре) в сфере социального обслуживания на территории Томской области, утвержде</w:t>
      </w:r>
      <w:r>
        <w:rPr>
          <w:rFonts w:ascii="PT Astra Serif" w:hAnsi="PT Astra Serif"/>
          <w:bCs/>
          <w:sz w:val="26"/>
          <w:szCs w:val="26"/>
        </w:rPr>
        <w:t xml:space="preserve">нным постановлением Администрации Томской области от 07.09.2021 № 373а.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Предметом регионального государственного контроля (надзора) является </w:t>
      </w:r>
      <w:r>
        <w:rPr>
          <w:rFonts w:ascii="PT Astra Serif" w:hAnsi="PT Astra Serif" w:cs="PT Astra Serif"/>
          <w:sz w:val="26"/>
          <w:szCs w:val="26"/>
        </w:rPr>
        <w:t xml:space="preserve">соблюдение поставщиками социальных услуг из числа негосударственных </w:t>
      </w:r>
      <w:r>
        <w:rPr>
          <w:rFonts w:ascii="PT Astra Serif" w:hAnsi="PT Astra Serif" w:cs="PT Astra Serif"/>
          <w:sz w:val="26"/>
          <w:szCs w:val="26"/>
        </w:rPr>
        <w:t xml:space="preserve">(коммерческих и некоммерческих) организаций соц</w:t>
      </w:r>
      <w:r>
        <w:rPr>
          <w:rFonts w:ascii="PT Astra Serif" w:hAnsi="PT Astra Serif" w:cs="PT Astra Serif"/>
          <w:sz w:val="26"/>
          <w:szCs w:val="26"/>
        </w:rPr>
        <w:t xml:space="preserve">иального обслуживания </w:t>
      </w:r>
      <w:r>
        <w:rPr>
          <w:rFonts w:ascii="PT Astra Serif" w:hAnsi="PT Astra Serif" w:cs="PT Astra Serif"/>
          <w:sz w:val="26"/>
          <w:szCs w:val="26"/>
        </w:rPr>
        <w:br/>
        <w:t xml:space="preserve">и индивидуальных предпринимателей, осуществляющих социальное обслуживание, требований Федерального закона </w:t>
      </w:r>
      <w:r>
        <w:rPr>
          <w:rFonts w:ascii="PT Astra Serif" w:hAnsi="PT Astra Serif"/>
          <w:sz w:val="26"/>
          <w:szCs w:val="26"/>
        </w:rPr>
        <w:t xml:space="preserve">от 28 декабря 2013 года № 442-ФЗ «Об основах социального обслуживания граждан в Российской Федерации» </w:t>
      </w:r>
      <w:r>
        <w:rPr>
          <w:rFonts w:ascii="PT Astra Serif" w:hAnsi="PT Astra Serif"/>
          <w:sz w:val="26"/>
          <w:szCs w:val="26"/>
        </w:rPr>
        <w:br/>
        <w:t xml:space="preserve">(далее – Федеральный зак</w:t>
      </w:r>
      <w:r>
        <w:rPr>
          <w:rFonts w:ascii="PT Astra Serif" w:hAnsi="PT Astra Serif"/>
          <w:sz w:val="26"/>
          <w:szCs w:val="26"/>
        </w:rPr>
        <w:t xml:space="preserve">он № 442-ФЗ),</w:t>
      </w:r>
      <w:r>
        <w:rPr>
          <w:rFonts w:ascii="PT Astra Serif" w:hAnsi="PT Astra Serif" w:cs="PT Astra Serif"/>
          <w:sz w:val="26"/>
          <w:szCs w:val="26"/>
        </w:rPr>
        <w:t xml:space="preserve"> других федеральных законов и иных нормативных правовых актов Российской Федерации, а также законов и иных нормативных правовых актов Томской области, регулирующих правоотношения </w:t>
      </w:r>
      <w:r>
        <w:rPr>
          <w:rFonts w:ascii="PT Astra Serif" w:hAnsi="PT Astra Serif" w:cs="PT Astra Serif"/>
          <w:sz w:val="26"/>
          <w:szCs w:val="26"/>
        </w:rPr>
        <w:br/>
        <w:t xml:space="preserve">в сфере социального обслуживания.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Посредством осуществления </w:t>
      </w:r>
      <w:r>
        <w:rPr>
          <w:rFonts w:ascii="PT Astra Serif" w:hAnsi="PT Astra Serif"/>
          <w:sz w:val="26"/>
          <w:szCs w:val="26"/>
        </w:rPr>
        <w:t xml:space="preserve">рег</w:t>
      </w:r>
      <w:r>
        <w:rPr>
          <w:rFonts w:ascii="PT Astra Serif" w:hAnsi="PT Astra Serif"/>
          <w:sz w:val="26"/>
          <w:szCs w:val="26"/>
        </w:rPr>
        <w:t xml:space="preserve">ионального государственного контроля (надзора) обеспечивается оценка соблюдения требований Федерального закона от 24 ноября 1995 года № 181-ФЗ «О социальной защите инвалидов в Российской Федерации», </w:t>
      </w:r>
      <w:r>
        <w:rPr>
          <w:rFonts w:ascii="PT Astra Serif" w:hAnsi="PT Astra Serif" w:cs="PT Astra Serif"/>
          <w:sz w:val="26"/>
          <w:szCs w:val="26"/>
        </w:rPr>
        <w:t xml:space="preserve">других федеральных законов и иных нормативных правовых ак</w:t>
      </w:r>
      <w:r>
        <w:rPr>
          <w:rFonts w:ascii="PT Astra Serif" w:hAnsi="PT Astra Serif" w:cs="PT Astra Serif"/>
          <w:sz w:val="26"/>
          <w:szCs w:val="26"/>
        </w:rPr>
        <w:t xml:space="preserve">тов Российской Федерации, законов и иных нормативных правовых актов Томской области, изданных в целях обеспечения доступности для инвалидов объектов социальной инфраструктуры и предоставляемых услуг, а также оказания им при этом необходимой помощи.</w:t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2021 </w:t>
      </w:r>
      <w:r>
        <w:rPr>
          <w:rFonts w:ascii="PT Astra Serif" w:hAnsi="PT Astra Serif" w:cs="Times New Roman"/>
          <w:sz w:val="26"/>
          <w:szCs w:val="26"/>
        </w:rPr>
        <w:t xml:space="preserve">году плановые и внеплановые проверки в рамках регионального государственного контроля (надзора) не осуществлялись, следовательно, эксперты и экспертные организации к проведению мероприятий по контролю не привлекались. </w:t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Департаментом предостережения о недоп</w:t>
      </w:r>
      <w:r>
        <w:rPr>
          <w:rFonts w:ascii="PT Astra Serif" w:hAnsi="PT Astra Serif" w:cs="Times New Roman"/>
          <w:sz w:val="26"/>
          <w:szCs w:val="26"/>
        </w:rPr>
        <w:t xml:space="preserve">устимости нарушения обязательных требований за 2020 и 2021 годы не выдавались.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2020 и </w:t>
      </w:r>
      <w:r>
        <w:rPr>
          <w:rFonts w:ascii="PT Astra Serif" w:hAnsi="PT Astra Serif"/>
          <w:sz w:val="26"/>
          <w:szCs w:val="26"/>
        </w:rPr>
        <w:t xml:space="preserve">2021 годах Программа профилактики нарушений обязательных требований законодательства в сфере социального обслуживания в отношении поставщиков социальных услуг, осуществл</w:t>
      </w:r>
      <w:r>
        <w:rPr>
          <w:rFonts w:ascii="PT Astra Serif" w:hAnsi="PT Astra Serif"/>
          <w:sz w:val="26"/>
          <w:szCs w:val="26"/>
        </w:rPr>
        <w:t xml:space="preserve">яющих социальное обслуживание в отношении совершеннолетних граждан на территории Томской области, реализована в полном объеме. </w:t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5. </w:t>
      </w:r>
      <w:r>
        <w:rPr>
          <w:rFonts w:ascii="PT Astra Serif" w:hAnsi="PT Astra Serif" w:cs="Times New Roman"/>
          <w:sz w:val="26"/>
          <w:szCs w:val="26"/>
        </w:rPr>
        <w:t xml:space="preserve">В</w:t>
      </w:r>
      <w:r>
        <w:rPr>
          <w:rFonts w:ascii="PT Astra Serif" w:hAnsi="PT Astra Serif" w:cs="Times New Roman"/>
          <w:sz w:val="26"/>
          <w:szCs w:val="26"/>
        </w:rPr>
        <w:t xml:space="preserve"> целях профилактики на</w:t>
      </w:r>
      <w:r>
        <w:rPr>
          <w:rFonts w:ascii="PT Astra Serif" w:hAnsi="PT Astra Serif" w:cs="Times New Roman"/>
          <w:sz w:val="26"/>
          <w:szCs w:val="26"/>
        </w:rPr>
        <w:t xml:space="preserve">рушений обязательных требований</w:t>
      </w:r>
      <w:r>
        <w:rPr>
          <w:rFonts w:ascii="PT Astra Serif" w:hAnsi="PT Astra Serif" w:cs="Times New Roman"/>
          <w:sz w:val="26"/>
          <w:szCs w:val="26"/>
        </w:rPr>
        <w:t xml:space="preserve"> н</w:t>
      </w:r>
      <w:r>
        <w:rPr>
          <w:rFonts w:ascii="PT Astra Serif" w:hAnsi="PT Astra Serif" w:cs="Times New Roman"/>
          <w:sz w:val="26"/>
          <w:szCs w:val="26"/>
        </w:rPr>
        <w:t xml:space="preserve">а официальном сайте Департамента в информационно-телекоммуникационной сети «Интернет» (далее - официальный сайт Департамента) размещается следующая информация:</w:t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Перечень нормативных правовых актов, содержащих обязательные требования, соблюдение которых о</w:t>
      </w:r>
      <w:r>
        <w:rPr>
          <w:rFonts w:ascii="PT Astra Serif" w:hAnsi="PT Astra Serif" w:cs="Times New Roman"/>
          <w:sz w:val="26"/>
          <w:szCs w:val="26"/>
        </w:rPr>
        <w:t xml:space="preserve">ценивается при проведении мероприятий по осуществлению регионального государственного контроля (надзора) в сфере социального обслуживания</w:t>
      </w:r>
      <w:r>
        <w:rPr>
          <w:rFonts w:ascii="PT Astra Serif" w:hAnsi="PT Astra Serif" w:cs="Times New Roman"/>
          <w:sz w:val="26"/>
          <w:szCs w:val="26"/>
        </w:rPr>
        <w:t xml:space="preserve"> в </w:t>
      </w:r>
      <w:r>
        <w:rPr>
          <w:rFonts w:ascii="PT Astra Serif" w:hAnsi="PT Astra Serif" w:cs="Times New Roman"/>
          <w:sz w:val="26"/>
          <w:szCs w:val="26"/>
        </w:rPr>
        <w:t xml:space="preserve">отношении поставщиков социальных услуг, осуществляющих социальное обслуживание в отношении совершеннолетних граждан в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области;</w:t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 Перечень показателей оценки результативности и эффективности контрольно-надзорной деятельности за соблюдением требований законодательства Российской Федерации в сфере социального обслуживания в отношении совершеннолетних граждан в Томской области.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Де</w:t>
      </w:r>
      <w:r>
        <w:rPr>
          <w:rFonts w:ascii="PT Astra Serif" w:hAnsi="PT Astra Serif"/>
          <w:sz w:val="26"/>
          <w:szCs w:val="26"/>
        </w:rPr>
        <w:t xml:space="preserve">партаментом проводятся совещания, консультации поставщиков социальных услуг по вопросам организации социального обслуживания в Томской области с соблюдением обязательных требований действующего законодательства.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  <w:highlight w:val="yellow"/>
        </w:rPr>
      </w:pPr>
      <w:r>
        <w:rPr>
          <w:rFonts w:ascii="PT Astra Serif" w:hAnsi="PT Astra Serif" w:eastAsia="Calibri"/>
          <w:sz w:val="26"/>
          <w:szCs w:val="26"/>
          <w:lang w:eastAsia="en-US"/>
        </w:rPr>
        <w:t xml:space="preserve">Е</w:t>
      </w:r>
      <w:r>
        <w:rPr>
          <w:rFonts w:ascii="PT Astra Serif" w:hAnsi="PT Astra Serif" w:eastAsia="Calibri"/>
          <w:bCs/>
          <w:sz w:val="26"/>
          <w:szCs w:val="26"/>
          <w:lang w:eastAsia="en-US"/>
        </w:rPr>
        <w:t xml:space="preserve">жегодно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Департаментом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проводится обобщение 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правоприменительной практики, по итогам которой </w:t>
      </w:r>
      <w:r>
        <w:rPr>
          <w:rFonts w:ascii="PT Astra Serif" w:hAnsi="PT Astra Serif" w:eastAsia="Calibri"/>
          <w:sz w:val="26"/>
          <w:szCs w:val="26"/>
          <w:lang w:eastAsia="en-US"/>
        </w:rPr>
        <w:t xml:space="preserve">утверждается доклад и размещается</w:t>
      </w:r>
      <w:r>
        <w:rPr>
          <w:rFonts w:ascii="PT Astra Serif" w:hAnsi="PT Astra Serif"/>
          <w:sz w:val="26"/>
          <w:szCs w:val="26"/>
        </w:rPr>
        <w:t xml:space="preserve"> на официальном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сайте Департамента.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В Департаменте организован прие</w:t>
      </w:r>
      <w:r>
        <w:rPr>
          <w:rFonts w:ascii="PT Astra Serif" w:hAnsi="PT Astra Serif"/>
          <w:sz w:val="26"/>
          <w:szCs w:val="26"/>
        </w:rPr>
        <w:t xml:space="preserve">м устных и письменных обращений</w:t>
      </w:r>
      <w:r>
        <w:rPr>
          <w:rFonts w:ascii="PT Astra Serif" w:hAnsi="PT Astra Serif"/>
          <w:sz w:val="26"/>
          <w:szCs w:val="26"/>
        </w:rPr>
        <w:t xml:space="preserve"> по вопросам нарушения законодательства в сфере социального обслуживания </w:t>
      </w:r>
      <w:r>
        <w:rPr>
          <w:rFonts w:ascii="PT Astra Serif" w:hAnsi="PT Astra Serif"/>
          <w:sz w:val="26"/>
          <w:szCs w:val="26"/>
        </w:rPr>
        <w:t xml:space="preserve">в отношении поставщиков социальных услуг, осуществляющих социальное обслуживание совершеннолетних граждан на территории Томской области, </w:t>
      </w:r>
      <w:r>
        <w:rPr>
          <w:rFonts w:ascii="PT Astra Serif" w:hAnsi="PT Astra Serif"/>
          <w:sz w:val="26"/>
          <w:szCs w:val="26"/>
        </w:rPr>
        <w:t xml:space="preserve">проводится анализ обращений и подготовка ответов на обращения в установленные законом сроки.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bidi="ru-RU"/>
        </w:rPr>
        <w:t xml:space="preserve">8. Программа профилактики </w:t>
      </w:r>
      <w:r>
        <w:rPr>
          <w:rFonts w:ascii="PT Astra Serif" w:hAnsi="PT Astra Serif"/>
          <w:sz w:val="26"/>
          <w:szCs w:val="26"/>
          <w:lang w:bidi="ru-RU"/>
        </w:rPr>
        <w:t xml:space="preserve">направлена на предупреждение возможного нарушения поставщиками социальных услуг обязательных требований в сфере социального обслуживания на терри</w:t>
      </w:r>
      <w:r>
        <w:rPr>
          <w:rFonts w:ascii="PT Astra Serif" w:hAnsi="PT Astra Serif"/>
          <w:sz w:val="26"/>
          <w:szCs w:val="26"/>
          <w:lang w:bidi="ru-RU"/>
        </w:rPr>
        <w:t xml:space="preserve">тории Томской области и снижение</w:t>
      </w:r>
      <w:r>
        <w:rPr>
          <w:rFonts w:ascii="PT Astra Serif" w:hAnsi="PT Astra Serif"/>
          <w:sz w:val="26"/>
          <w:szCs w:val="26"/>
          <w:lang w:bidi="ru-RU"/>
        </w:rPr>
        <w:t xml:space="preserve"> рисков причинения вреда (ущерба) охраняемы</w:t>
      </w:r>
      <w:r>
        <w:rPr>
          <w:rFonts w:ascii="PT Astra Serif" w:hAnsi="PT Astra Serif"/>
          <w:sz w:val="26"/>
          <w:szCs w:val="26"/>
          <w:lang w:bidi="ru-RU"/>
        </w:rPr>
        <w:t xml:space="preserve">м законом ценностям, разъяснение</w:t>
      </w:r>
      <w:r>
        <w:rPr>
          <w:rFonts w:ascii="PT Astra Serif" w:hAnsi="PT Astra Serif"/>
          <w:sz w:val="26"/>
          <w:szCs w:val="26"/>
          <w:lang w:bidi="ru-RU"/>
        </w:rPr>
        <w:t xml:space="preserve"> пос</w:t>
      </w:r>
      <w:r>
        <w:rPr>
          <w:rFonts w:ascii="PT Astra Serif" w:hAnsi="PT Astra Serif"/>
          <w:sz w:val="26"/>
          <w:szCs w:val="26"/>
          <w:lang w:bidi="ru-RU"/>
        </w:rPr>
        <w:t xml:space="preserve">тавщикам социальных услуг обязательных требований, регулирующих </w:t>
      </w:r>
      <w:r>
        <w:rPr>
          <w:rFonts w:ascii="PT Astra Serif" w:hAnsi="PT Astra Serif" w:cs="PT Astra Serif"/>
          <w:sz w:val="26"/>
          <w:szCs w:val="26"/>
        </w:rPr>
        <w:t xml:space="preserve">правоотношения в сфере социального обслуживания</w:t>
      </w:r>
      <w:r>
        <w:rPr>
          <w:rFonts w:ascii="PT Astra Serif" w:hAnsi="PT Astra Serif"/>
          <w:sz w:val="26"/>
          <w:szCs w:val="26"/>
          <w:lang w:bidi="ru-RU"/>
        </w:rPr>
        <w:t xml:space="preserve">.</w:t>
      </w:r>
      <w:r/>
    </w:p>
    <w:p>
      <w:pPr>
        <w:pStyle w:val="670"/>
        <w:ind w:firstLine="709"/>
        <w:jc w:val="both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</w:r>
      <w:r/>
    </w:p>
    <w:p>
      <w:pPr>
        <w:pStyle w:val="670"/>
        <w:ind w:firstLine="709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3. Основные цели и задачи реализации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П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рограммы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п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рофилактики</w:t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9. Основными целями Программы профилактики являются:</w:t>
      </w:r>
      <w:r/>
    </w:p>
    <w:p>
      <w:pPr>
        <w:pStyle w:val="667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с</w:t>
      </w:r>
      <w:r>
        <w:rPr>
          <w:rFonts w:ascii="PT Astra Serif" w:hAnsi="PT Astra Serif"/>
          <w:sz w:val="26"/>
          <w:szCs w:val="26"/>
        </w:rPr>
        <w:t xml:space="preserve">тимулирование к добросов</w:t>
      </w:r>
      <w:r>
        <w:rPr>
          <w:rFonts w:ascii="PT Astra Serif" w:hAnsi="PT Astra Serif"/>
          <w:sz w:val="26"/>
          <w:szCs w:val="26"/>
        </w:rPr>
        <w:t xml:space="preserve">естному соблюдению обязательных требований всеми поставщиками социальных услуг;</w:t>
      </w:r>
      <w:r/>
    </w:p>
    <w:p>
      <w:pPr>
        <w:pStyle w:val="667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/>
    </w:p>
    <w:p>
      <w:pPr>
        <w:pStyle w:val="667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создание ус</w:t>
      </w:r>
      <w:r>
        <w:rPr>
          <w:rFonts w:ascii="PT Astra Serif" w:hAnsi="PT Astra Serif"/>
          <w:sz w:val="26"/>
          <w:szCs w:val="26"/>
        </w:rPr>
        <w:t xml:space="preserve">ловий для доведения обязательных требований в сфере социального обслуживания до поставщиков социальных услуг, повышение информированности о способах их соблюдения.</w:t>
      </w:r>
      <w:r/>
    </w:p>
    <w:p>
      <w:pPr>
        <w:pStyle w:val="667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10. </w:t>
      </w:r>
      <w:bookmarkStart w:id="0" w:name="Par96"/>
      <w:r/>
      <w:bookmarkEnd w:id="0"/>
      <w:r>
        <w:rPr>
          <w:rFonts w:ascii="PT Astra Serif" w:hAnsi="PT Astra Serif" w:cs="Times New Roman"/>
          <w:sz w:val="26"/>
          <w:szCs w:val="26"/>
        </w:rPr>
        <w:t xml:space="preserve">Основными задачами Программы профилактики являются:</w:t>
      </w:r>
      <w:r/>
    </w:p>
    <w:p>
      <w:pPr>
        <w:pStyle w:val="667"/>
        <w:ind w:firstLine="708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ф</w:t>
      </w:r>
      <w:r>
        <w:rPr>
          <w:rFonts w:ascii="PT Astra Serif" w:hAnsi="PT Astra Serif"/>
          <w:sz w:val="26"/>
          <w:szCs w:val="26"/>
        </w:rPr>
        <w:t xml:space="preserve">ормирование единого понимания обязательных требований в соответствующей сфере у всех поставщиков социальных услуг;</w:t>
      </w:r>
      <w:r/>
    </w:p>
    <w:p>
      <w:pPr>
        <w:pStyle w:val="667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выявление и устранение причин, факторов и условий, способствующих нарушению обязательных требований в сфере социального обслуживания;</w:t>
      </w:r>
      <w:r/>
    </w:p>
    <w:p>
      <w:pPr>
        <w:pStyle w:val="667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</w:t>
      </w:r>
      <w:r>
        <w:rPr>
          <w:rFonts w:ascii="PT Astra Serif" w:hAnsi="PT Astra Serif"/>
          <w:sz w:val="26"/>
          <w:szCs w:val="26"/>
        </w:rPr>
        <w:t xml:space="preserve">овышение уровня правовой грамотности поставщиков социальных услуг, в том числе путем обеспечения доступности информации об обязательных требованиях в сфере социального обслуживания и необходимых мерах по их исполнению;</w:t>
      </w:r>
      <w:r/>
    </w:p>
    <w:p>
      <w:pPr>
        <w:pStyle w:val="667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мотивация поставщиков социальных у</w:t>
      </w:r>
      <w:r>
        <w:rPr>
          <w:rFonts w:ascii="PT Astra Serif" w:hAnsi="PT Astra Serif"/>
          <w:sz w:val="26"/>
          <w:szCs w:val="26"/>
        </w:rPr>
        <w:t xml:space="preserve">слуг к добросовестному исполнению своих обязательств и, как следствие, снижение вреда, причиняемого охраняемым законом ценностям;</w:t>
      </w:r>
      <w:r/>
    </w:p>
    <w:p>
      <w:pPr>
        <w:pStyle w:val="667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проведение профилактических мероприятий, направленных на снижение риска причинения вреда (ущерба) охраняемым законом ценнос</w:t>
      </w:r>
      <w:r>
        <w:rPr>
          <w:rFonts w:ascii="PT Astra Serif" w:hAnsi="PT Astra Serif"/>
          <w:sz w:val="26"/>
          <w:szCs w:val="26"/>
        </w:rPr>
        <w:t xml:space="preserve">тям.</w:t>
      </w:r>
      <w:r/>
    </w:p>
    <w:p>
      <w:pPr>
        <w:pStyle w:val="66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11. Ожидаемые результаты реализации Программы профилактики:</w:t>
      </w:r>
      <w:r/>
    </w:p>
    <w:p>
      <w:pPr>
        <w:pStyle w:val="667"/>
        <w:ind w:left="-108" w:firstLine="392"/>
        <w:jc w:val="both"/>
        <w:tabs>
          <w:tab w:val="left" w:pos="459" w:leader="none"/>
          <w:tab w:val="left" w:pos="2302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1) развитие системы профилактических мероприятий Департамента, внедрение различных способов профилактики;</w:t>
      </w:r>
      <w:r/>
    </w:p>
    <w:p>
      <w:pPr>
        <w:pStyle w:val="667"/>
        <w:ind w:left="-108" w:firstLine="0"/>
        <w:jc w:val="both"/>
        <w:tabs>
          <w:tab w:val="left" w:pos="459" w:leader="none"/>
          <w:tab w:val="left" w:pos="2302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2) увеличение доли законопослушных поставщиков социальных </w:t>
      </w:r>
      <w:r>
        <w:rPr>
          <w:rFonts w:ascii="PT Astra Serif" w:hAnsi="PT Astra Serif" w:cs="Times New Roman"/>
          <w:sz w:val="26"/>
          <w:szCs w:val="26"/>
        </w:rPr>
        <w:t xml:space="preserve">услуг, повышение уровня их правовой грамотности;</w:t>
      </w:r>
      <w:r/>
    </w:p>
    <w:p>
      <w:pPr>
        <w:pStyle w:val="667"/>
        <w:ind w:left="-108" w:firstLine="0"/>
        <w:jc w:val="both"/>
        <w:tabs>
          <w:tab w:val="left" w:pos="459" w:leader="none"/>
          <w:tab w:val="left" w:pos="2302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3) повышение прозрачности деятельности Департамента;</w:t>
      </w:r>
      <w:r/>
    </w:p>
    <w:p>
      <w:pPr>
        <w:pStyle w:val="667"/>
        <w:ind w:left="-108" w:firstLine="0"/>
        <w:jc w:val="both"/>
        <w:tabs>
          <w:tab w:val="left" w:pos="459" w:leader="none"/>
          <w:tab w:val="left" w:pos="2302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4) уменьшение административной нагрузки на поставщиков социальных услуг;</w:t>
      </w:r>
      <w:r/>
    </w:p>
    <w:p>
      <w:pPr>
        <w:pStyle w:val="667"/>
        <w:ind w:left="-108" w:firstLine="0"/>
        <w:jc w:val="both"/>
        <w:tabs>
          <w:tab w:val="left" w:pos="459" w:leader="none"/>
          <w:tab w:val="left" w:pos="2302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5) повышение информированности поставщиков социальных услуг об обя</w:t>
      </w:r>
      <w:r>
        <w:rPr>
          <w:rFonts w:ascii="PT Astra Serif" w:hAnsi="PT Astra Serif" w:cs="Times New Roman"/>
          <w:sz w:val="26"/>
          <w:szCs w:val="26"/>
        </w:rPr>
        <w:t xml:space="preserve">зательных требованиях, предупреждение о нарушениях обязательных требований в сфере социального обслуживания;</w:t>
      </w:r>
      <w:r/>
    </w:p>
    <w:p>
      <w:pPr>
        <w:pStyle w:val="667"/>
        <w:ind w:firstLine="709"/>
        <w:jc w:val="both"/>
        <w:tabs>
          <w:tab w:val="left" w:pos="459" w:leader="none"/>
          <w:tab w:val="left" w:pos="993" w:leader="none"/>
          <w:tab w:val="left" w:pos="2302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6) обеспечение единообразия понимания предмета регионального государственного контроля (надзора) поставщиками социальных услуг;</w:t>
      </w:r>
      <w:r/>
    </w:p>
    <w:p>
      <w:pPr>
        <w:pStyle w:val="667"/>
        <w:ind w:firstLine="709"/>
        <w:jc w:val="both"/>
        <w:tabs>
          <w:tab w:val="left" w:pos="459" w:leader="none"/>
          <w:tab w:val="left" w:pos="2302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7) мотивация постав</w:t>
      </w:r>
      <w:r>
        <w:rPr>
          <w:rFonts w:ascii="PT Astra Serif" w:hAnsi="PT Astra Serif" w:cs="Times New Roman"/>
          <w:sz w:val="26"/>
          <w:szCs w:val="26"/>
        </w:rPr>
        <w:t xml:space="preserve">щиков социальных услуг к повышению качества предоставления социальных услуг.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  <w:outlineLvl w:val="1"/>
      </w:pPr>
      <w:r>
        <w:rPr>
          <w:rFonts w:ascii="PT Astra Serif" w:hAnsi="PT Astra Serif" w:cs="Times New Roman"/>
          <w:b w:val="false"/>
          <w:sz w:val="26"/>
          <w:szCs w:val="26"/>
        </w:rPr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  <w:outlineLvl w:val="1"/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4. Перечень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профилактических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мероприятий, сроки (периодичность) их проведения 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</w:r>
      <w:r/>
    </w:p>
    <w:p>
      <w:pPr>
        <w:pStyle w:val="670"/>
        <w:ind w:firstLine="709"/>
        <w:jc w:val="both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12. Профилактические мероприятия Программы профилактики представляют собой комплекс мер, направлен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ных на достижение целей и решение основных задач. Перечень профилактических мероприятий Программы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профилактики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, сроки (периодичность) их проведения и ответственные должностные лица приведены в Плане профилактических мероприятий в рамках осуществления регион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,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на 2022 год согласно приложению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к настоящей Программе профилактики.</w:t>
      </w:r>
      <w:r/>
    </w:p>
    <w:p>
      <w:pPr>
        <w:pStyle w:val="670"/>
        <w:ind w:firstLine="709"/>
        <w:jc w:val="both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5. Показатели ре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зультативности и эффективности П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рограммы профилактики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</w:r>
      <w:r/>
    </w:p>
    <w:p>
      <w:pPr>
        <w:pStyle w:val="670"/>
        <w:ind w:firstLine="709"/>
        <w:jc w:val="both"/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13. Целевыми показателями ре</w:t>
      </w:r>
      <w:r>
        <w:rPr>
          <w:rFonts w:ascii="PT Astra Serif" w:hAnsi="PT Astra Serif"/>
          <w:b w:val="false"/>
          <w:sz w:val="26"/>
          <w:szCs w:val="26"/>
        </w:rPr>
        <w:t xml:space="preserve">зультативности и эффективности П</w:t>
      </w:r>
      <w:r>
        <w:rPr>
          <w:rFonts w:ascii="PT Astra Serif" w:hAnsi="PT Astra Serif"/>
          <w:b w:val="false"/>
          <w:sz w:val="26"/>
          <w:szCs w:val="26"/>
        </w:rPr>
        <w:t xml:space="preserve">рограммы профилактики являются:</w:t>
      </w:r>
      <w:r/>
    </w:p>
    <w:p>
      <w:pPr>
        <w:pStyle w:val="670"/>
        <w:numPr>
          <w:ilvl w:val="0"/>
          <w:numId w:val="47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общее</w:t>
      </w:r>
      <w:r>
        <w:rPr>
          <w:rFonts w:ascii="PT Astra Serif" w:hAnsi="PT Astra Serif"/>
          <w:b w:val="false"/>
          <w:sz w:val="26"/>
          <w:szCs w:val="26"/>
        </w:rPr>
        <w:t xml:space="preserve"> количество проведенных профилактических мероприят</w:t>
      </w:r>
      <w:r>
        <w:rPr>
          <w:rFonts w:ascii="PT Astra Serif" w:hAnsi="PT Astra Serif"/>
          <w:b w:val="false"/>
          <w:sz w:val="26"/>
          <w:szCs w:val="26"/>
        </w:rPr>
        <w:t xml:space="preserve">ий (показатель учитывает суммарное количество проведенных профилактических мероприятий), количество (по факту);</w:t>
      </w:r>
      <w:r/>
    </w:p>
    <w:p>
      <w:pPr>
        <w:pStyle w:val="670"/>
        <w:numPr>
          <w:ilvl w:val="0"/>
          <w:numId w:val="47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доля</w:t>
      </w:r>
      <w:r>
        <w:rPr>
          <w:rFonts w:ascii="PT Astra Serif" w:hAnsi="PT Astra Serif"/>
          <w:b w:val="false"/>
          <w:sz w:val="26"/>
          <w:szCs w:val="26"/>
        </w:rPr>
        <w:t xml:space="preserve"> поставщиков социальных услуг</w:t>
      </w:r>
      <w:r>
        <w:rPr>
          <w:rFonts w:ascii="PT Astra Serif" w:hAnsi="PT Astra Serif"/>
          <w:b w:val="false"/>
          <w:sz w:val="26"/>
          <w:szCs w:val="26"/>
        </w:rPr>
        <w:t xml:space="preserve">, в отношении которых проведены профилактические мероприятия (показатель устанавливается в процентах от количества поставщиков услуг), % (100%);</w:t>
      </w:r>
      <w:r/>
    </w:p>
    <w:p>
      <w:pPr>
        <w:pStyle w:val="670"/>
        <w:numPr>
          <w:ilvl w:val="0"/>
          <w:numId w:val="47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количество</w:t>
      </w:r>
      <w:r>
        <w:rPr>
          <w:rFonts w:ascii="PT Astra Serif" w:hAnsi="PT Astra Serif"/>
          <w:b w:val="false"/>
          <w:sz w:val="26"/>
          <w:szCs w:val="26"/>
        </w:rPr>
        <w:t xml:space="preserve"> мероприятий, направленных на информирование юридических лиц, предоставляющих услуги, по вопросам соб</w:t>
      </w:r>
      <w:r>
        <w:rPr>
          <w:rFonts w:ascii="PT Astra Serif" w:hAnsi="PT Astra Serif"/>
          <w:b w:val="false"/>
          <w:sz w:val="26"/>
          <w:szCs w:val="26"/>
        </w:rPr>
        <w:t xml:space="preserve">людения обязательных требований (показатель учитывает суммарное количество мероприятий, направленных на информирование юридических лиц, предоставляющих услуги, по вопросам соблюдения обязательных требований), количество (по факту).</w:t>
      </w:r>
      <w:r/>
    </w:p>
    <w:p>
      <w:pPr>
        <w:pStyle w:val="670"/>
        <w:ind w:left="709"/>
        <w:jc w:val="both"/>
        <w:tabs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</w:r>
      <w:r/>
    </w:p>
    <w:p>
      <w:pPr>
        <w:pStyle w:val="670"/>
        <w:ind w:left="709"/>
        <w:jc w:val="center"/>
        <w:tabs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6. Оценка эффективности</w:t>
      </w:r>
      <w:r>
        <w:rPr>
          <w:rFonts w:ascii="PT Astra Serif" w:hAnsi="PT Astra Serif"/>
          <w:b w:val="false"/>
          <w:sz w:val="26"/>
          <w:szCs w:val="26"/>
        </w:rPr>
        <w:t xml:space="preserve"> П</w:t>
      </w:r>
      <w:r>
        <w:rPr>
          <w:rFonts w:ascii="PT Astra Serif" w:hAnsi="PT Astra Serif"/>
          <w:b w:val="false"/>
          <w:sz w:val="26"/>
          <w:szCs w:val="26"/>
        </w:rPr>
        <w:t xml:space="preserve">рограммы профилактики</w:t>
      </w:r>
      <w:r/>
    </w:p>
    <w:p>
      <w:pPr>
        <w:pStyle w:val="670"/>
        <w:ind w:left="709"/>
        <w:jc w:val="both"/>
        <w:tabs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</w:r>
      <w:r/>
    </w:p>
    <w:p>
      <w:pPr>
        <w:pStyle w:val="670"/>
        <w:ind w:firstLine="709"/>
        <w:jc w:val="both"/>
        <w:tabs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14. Программа профилактики призвана обеспечить создание условий для снижения случаев нарушения обязательных требований, снижения количества однотипных и повторяющихся нарушений одним и тем же поставщиком социальных услуг (на одном </w:t>
      </w:r>
      <w:r>
        <w:rPr>
          <w:rFonts w:ascii="PT Astra Serif" w:hAnsi="PT Astra Serif"/>
          <w:b w:val="false"/>
          <w:sz w:val="26"/>
          <w:szCs w:val="26"/>
        </w:rPr>
        <w:t xml:space="preserve">и том же объекте), мотивации поставщиков социальных услуг к повышению качества предоставления услуг.</w:t>
      </w:r>
      <w:r/>
    </w:p>
    <w:p>
      <w:pPr>
        <w:pStyle w:val="670"/>
        <w:ind w:firstLine="709"/>
        <w:jc w:val="both"/>
        <w:tabs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Критерием эффективности и результативности профилактических мероприятий является сокращение количества нарушений у поставщиков социальных услуг.</w:t>
      </w:r>
      <w:r/>
    </w:p>
    <w:p>
      <w:pPr>
        <w:pStyle w:val="670"/>
        <w:ind w:firstLine="709"/>
        <w:jc w:val="both"/>
        <w:tabs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Мероприяти</w:t>
      </w:r>
      <w:r>
        <w:rPr>
          <w:rFonts w:ascii="PT Astra Serif" w:hAnsi="PT Astra Serif"/>
          <w:b w:val="false"/>
          <w:sz w:val="26"/>
          <w:szCs w:val="26"/>
        </w:rPr>
        <w:t xml:space="preserve">я по профилактике нарушений и в целом Программы профилактики по итогам календарного года с учетом достижений целей Программы профилактики считаются выполненными при достижении целевых показателей, обозначенных в пункте 13 Программы профилактики.</w:t>
      </w:r>
      <w:r/>
    </w:p>
    <w:p>
      <w:pPr>
        <w:pStyle w:val="67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b w:val="false"/>
          <w:sz w:val="26"/>
          <w:szCs w:val="26"/>
        </w:rPr>
        <w:sectPr>
          <w:headerReference w:type="default" r:id="rId8"/>
          <w:footnotePr/>
          <w:type w:val="nextPage"/>
          <w:pgSz w:w="11906" w:h="16838" w:orient="portrait"/>
          <w:pgMar w:top="851" w:right="851" w:bottom="396" w:left="1418" w:header="709" w:footer="709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15. Департамент может проводить профилактические м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ероприятия, не предусмотренные П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рограммой профилактики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.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                                                                                                       Приложение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                                                                                                                                             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к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Программе профилактики рисков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                                                                                                                                                      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причинения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вреда (ущерба) охраняемым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                                                                                                                                      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              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законом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ценностям на 2022 год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в рамках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                                                                                                                                    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осуществления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регионального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                                                                                                                                                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государственного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контроля (надзора)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                                                                                                                                                  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в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сфере социального обслуживания на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                                                                                                                                  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территории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Томской области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План 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профилактических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мероприятий 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в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рамках осуществления регионального государственного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 на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,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2022 год </w:t>
      </w:r>
      <w:r/>
    </w:p>
    <w:p>
      <w:pPr>
        <w:pStyle w:val="670"/>
        <w:jc w:val="center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</w:r>
      <w:r/>
    </w:p>
    <w:tbl>
      <w:tblPr>
        <w:tblStyle w:val="668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6378"/>
        <w:gridCol w:w="3636"/>
        <w:gridCol w:w="2394"/>
      </w:tblGrid>
      <w:tr>
        <w:trPr/>
        <w:tc>
          <w:tcPr>
            <w:tcW w:w="2802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Наименование мероприятия</w:t>
            </w:r>
            <w:r/>
          </w:p>
        </w:tc>
        <w:tc>
          <w:tcPr>
            <w:tcW w:w="6378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Сведения о меропр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иятии </w:t>
            </w:r>
            <w:r/>
          </w:p>
        </w:tc>
        <w:tc>
          <w:tcPr>
            <w:tcW w:w="3636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Ответственные исполнители</w:t>
            </w:r>
            <w:r/>
          </w:p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Департамента</w:t>
            </w:r>
            <w:r/>
          </w:p>
        </w:tc>
        <w:tc>
          <w:tcPr>
            <w:tcW w:w="2394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Срок реализации</w:t>
            </w:r>
            <w:r/>
          </w:p>
        </w:tc>
      </w:tr>
      <w:tr>
        <w:trPr/>
        <w:tc>
          <w:tcPr>
            <w:tcW w:w="2802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Информирование</w:t>
            </w:r>
            <w:r/>
          </w:p>
        </w:tc>
        <w:tc>
          <w:tcPr>
            <w:tcW w:w="6378" w:type="dxa"/>
            <w:textDirection w:val="lrTb"/>
            <w:noWrap w:val="false"/>
          </w:tcPr>
          <w:p>
            <w:pPr>
              <w:pStyle w:val="670"/>
              <w:jc w:val="both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Департамент социальной защиты населения Томской области (далее – Департамент) осуществляет информирование поставщиков социальных услуг по вопросам соблюдения обязательных требований в сфере с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оциального обслуживания.</w:t>
            </w:r>
            <w:r/>
          </w:p>
          <w:p>
            <w:pPr>
              <w:pStyle w:val="670"/>
              <w:jc w:val="both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Информирование поставщиков социальных услуг осуществляется посредством размещения на официальном сайте Департамента в сети «Интернет» и поддержания в актуальном состоянии следующих сведений: </w:t>
            </w:r>
            <w:r/>
          </w:p>
          <w:p>
            <w:pPr>
              <w:pStyle w:val="670"/>
              <w:jc w:val="both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) текст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 нормативных правовых актов, р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егулирующих осуществление регионального государственного контроля (надзора) в сфере социального обслуживания; </w:t>
            </w:r>
            <w:r/>
          </w:p>
          <w:p>
            <w:pPr>
              <w:pStyle w:val="670"/>
              <w:jc w:val="both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2) руководство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 по соблюдению обязательных требований;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3) программа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 профилактики рисков причинения вреда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и план проведения плановых контрольных (н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адзорных) мероприятий (при наличии); 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4) сведения о способах получения консультаций по </w:t>
            </w:r>
            <w:bookmarkStart w:id="1" w:name="_GoBack"/>
            <w:r/>
            <w:bookmarkEnd w:id="1"/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вопросам соблюдения обязательных требований; 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5) доклады, содержащие результаты обобщения правоприменительной практики; 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6) доклады о государственном контроле (надзоре);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 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7) иные сведения, предусмотренные нормативными правовыми актами Российс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кой Федерации и Томской области</w:t>
            </w:r>
            <w:r/>
          </w:p>
        </w:tc>
        <w:tc>
          <w:tcPr>
            <w:tcW w:w="3636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Начальник отдела контроля и надзора, консультант – экономист отдела контроля и надзора</w:t>
            </w:r>
            <w:r/>
          </w:p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</w:r>
            <w:r/>
          </w:p>
        </w:tc>
        <w:tc>
          <w:tcPr>
            <w:tcW w:w="2394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В течение 15 дней со дня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 принятия нормативных правовых актов, программ, перечней, руководств и иных сведений или внесения в них изменений</w:t>
            </w:r>
            <w:r/>
          </w:p>
        </w:tc>
      </w:tr>
      <w:tr>
        <w:trPr/>
        <w:tc>
          <w:tcPr>
            <w:tcW w:w="2802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Обобщение правоприменительной практики</w:t>
            </w:r>
            <w:r/>
          </w:p>
        </w:tc>
        <w:tc>
          <w:tcPr>
            <w:tcW w:w="6378" w:type="dxa"/>
            <w:textDirection w:val="lrTb"/>
            <w:noWrap w:val="false"/>
          </w:tcPr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Доклад о правоприменительной практике по итогам осуществления регионального государственного контроля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(надзора) готовится ежегодно и подлежит публичному обсуждению. 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Доклад о правоприменительной практике утверждается руководителем и размещается на официальном сайте Департамента в информационно-телек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оммуникационной сети «Интернет»</w:t>
            </w:r>
            <w:r/>
          </w:p>
        </w:tc>
        <w:tc>
          <w:tcPr>
            <w:tcW w:w="3636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Начальник отдела контроля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 и надзора, консультант – экономист отдела контроля и надзора</w:t>
            </w:r>
            <w:r/>
          </w:p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</w:r>
            <w:r/>
          </w:p>
        </w:tc>
        <w:tc>
          <w:tcPr>
            <w:tcW w:w="2394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До 1 апреля год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а, следующего за отчетным годом</w:t>
            </w:r>
            <w:r/>
          </w:p>
        </w:tc>
      </w:tr>
      <w:tr>
        <w:trPr/>
        <w:tc>
          <w:tcPr>
            <w:tcW w:w="2802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Объявление предостережения</w:t>
            </w:r>
            <w:r/>
          </w:p>
        </w:tc>
        <w:tc>
          <w:tcPr>
            <w:tcW w:w="6378" w:type="dxa"/>
            <w:textDirection w:val="lrTb"/>
            <w:noWrap w:val="false"/>
          </w:tcPr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При наличии у Департамента сведений о готовящихся нарушениях обязательных требований или признаках н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контрольный орган объявляет поставщику социальных услуг предостережение о недопустимости нарушения обязательных требований и предлагает принять меры по обеспечению соб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людения обязательных требований.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Поставщик социальных услуг в течение 20 рабочих дней со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дня получения предостережения вправе подать в Департамент возражение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br/>
              <w:t xml:space="preserve">в отношении предостережения.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Департамент рассматривает возражение в отношении предостережения в течение 10 рабочих дней со дня его получения и не позднее 5 рабочих дней со дня рассмотрен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ия информирует поставщика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 социальных услуг о результатах</w:t>
            </w:r>
            <w:r/>
          </w:p>
        </w:tc>
        <w:tc>
          <w:tcPr>
            <w:tcW w:w="3636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Начальник отдела контроля и надзора, консультант – экономист отдела контроля и надзора</w:t>
            </w:r>
            <w:r/>
          </w:p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</w:r>
            <w:r/>
          </w:p>
        </w:tc>
        <w:tc>
          <w:tcPr>
            <w:tcW w:w="2394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В течение года, при наличии сведений, указанных в части 1 статьи 49 Федерального закона от 31 июл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я 2020 года № 248-ФЗ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 «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О государственном контроле (надзоре) и муниципальном контроле в Российской Федерации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»</w:t>
            </w:r>
            <w:r/>
          </w:p>
        </w:tc>
      </w:tr>
      <w:tr>
        <w:trPr/>
        <w:tc>
          <w:tcPr>
            <w:tcW w:w="2802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Консультирование</w:t>
            </w:r>
            <w:r/>
          </w:p>
        </w:tc>
        <w:tc>
          <w:tcPr>
            <w:tcW w:w="6378" w:type="dxa"/>
            <w:textDirection w:val="lrTb"/>
            <w:noWrap w:val="false"/>
          </w:tcPr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Консультирование поставщиков социальных услуг и их представителей осуществляется по следующим вопросам: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1) о порядке проведения контрольных мероприятий;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2) о перечне актов, регулирующих осуществление регионального государственного контроля;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3) о месте нахождения и графике работы контрольного органа;</w:t>
            </w:r>
            <w:r/>
          </w:p>
          <w:p>
            <w:pPr>
              <w:pStyle w:val="670"/>
              <w:jc w:val="both"/>
              <w:tabs>
                <w:tab w:val="left" w:pos="175" w:leader="none"/>
              </w:tabs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4) о периодичности проведения контрольных мероприятий;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5) о порядке принятия решений по итогам контрольных м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ероприятий;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6) о порядке обжалования решений контрольного органа, действий (бездействия) его должностных лиц.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По итогам консультирования информация в письменной форме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br/>
              <w:t xml:space="preserve">не предоставляется, за исключением случаев подачи обращения в соответствии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br/>
              <w:t xml:space="preserve">с Федеральны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м законом от 2 мая 2006 года № 59-ФЗ «О порядке рассмотрения обращений граждан Российской Федерации».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При поступлении 3-х и более обращений по однотипным вопросам от разных поставщиков социальных услуг в течение одного календарного года письменные разъясне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ния размещаются на официальном сайте 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в информационно-телек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оммуникационной сети «Интернет»</w:t>
            </w:r>
            <w:r/>
          </w:p>
        </w:tc>
        <w:tc>
          <w:tcPr>
            <w:tcW w:w="3636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Начальник отдела контроля и надзора, консультант – экономист отдела контроля и надзора</w:t>
            </w:r>
            <w:r/>
          </w:p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</w:r>
            <w:r/>
          </w:p>
        </w:tc>
        <w:tc>
          <w:tcPr>
            <w:tcW w:w="2394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Ежедневно, в течение года с понедельника по пятницу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 с 9:00 до 18:00 часов, обед с 12:30 до 13:30 часов</w:t>
            </w:r>
            <w:r/>
          </w:p>
        </w:tc>
      </w:tr>
      <w:tr>
        <w:trPr>
          <w:trHeight w:val="384"/>
        </w:trPr>
        <w:tc>
          <w:tcPr>
            <w:tcW w:w="2802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Профилактический визит</w:t>
            </w:r>
            <w:r/>
          </w:p>
        </w:tc>
        <w:tc>
          <w:tcPr>
            <w:tcW w:w="6378" w:type="dxa"/>
            <w:textDirection w:val="lrTb"/>
            <w:noWrap w:val="false"/>
          </w:tcPr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Профилактический визит проводится в форме профилактической беседы по месту осуществления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деятельности поставщика социальных услуг либо путем использования видео-конференц-связи.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В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ходе профилактического визита уполномоченными должностными лицами Департамента может осуществляться консультирование поставщика социальных услуг в порядке, установленном </w:t>
            </w:r>
            <w:hyperlink r:id="rId11" w:tooltip="consultantplus://offline/ref=CAB23EF4F104915E7F3D4809187D128AF9DDC24DFACD1E5D8E148536EA239E33AB0AE79FB9C1959E4C535A1CDC8D7AFADBD36307FCB88BF6L1Z1H" w:history="1">
              <w:r>
                <w:rPr>
                  <w:rFonts w:ascii="PT Astra Serif" w:hAnsi="PT Astra Serif"/>
                  <w:b w:val="false"/>
                  <w:sz w:val="26"/>
                  <w:szCs w:val="26"/>
                </w:rPr>
                <w:t xml:space="preserve">статьей 50</w:t>
              </w:r>
            </w:hyperlink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 Федерального зак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она от 31 июля 2020 года № 248-ФЗ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 «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О государственном контроле (надзоре) и муниципальном контроле в Российской Федерации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».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Обязательный профилактический визит проводится в отношении: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1) поставщиков социальных услуг, приступающих к осуществлению деятельности в сфере социального обслуживания;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2) объектов контроля, отнесенных к категориям высокого и значительного рисков.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О проведении обязательного профилактического визита поставщик социальных услуг уведомляется не позднее чем за 5 рабочих дней до даты его проведения.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Поставщик социальных услуг в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праве отказаться от проведения обязательного профилактического визита, уведомив об этом контрольный (надзорный) орган не позднее чем за 3 рабочих дня до даты его проведения.</w:t>
            </w:r>
            <w:r/>
          </w:p>
          <w:p>
            <w:pPr>
              <w:pStyle w:val="670"/>
              <w:jc w:val="both"/>
              <w:rPr>
                <w:rFonts w:ascii="PT Astra Serif" w:hAnsi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При проведении профилактического визита поставщикам социальных услуг не могут выда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ваться предписания об устранении нарушений обязательных требований. Разъяснения, полученные в ходе профилактического визита, </w:t>
            </w:r>
            <w:r>
              <w:rPr>
                <w:rFonts w:ascii="PT Astra Serif" w:hAnsi="PT Astra Serif"/>
                <w:b w:val="false"/>
                <w:sz w:val="26"/>
                <w:szCs w:val="26"/>
              </w:rPr>
              <w:t xml:space="preserve">носят рекомендательный характер</w:t>
            </w:r>
            <w:r/>
          </w:p>
        </w:tc>
        <w:tc>
          <w:tcPr>
            <w:tcW w:w="3636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Начальник отдела контроля и надзора, консультант – </w:t>
            </w: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экономист отдела контроля и надзора</w:t>
            </w:r>
            <w:r/>
          </w:p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</w:r>
            <w:r/>
          </w:p>
        </w:tc>
        <w:tc>
          <w:tcPr>
            <w:tcW w:w="2394" w:type="dxa"/>
            <w:textDirection w:val="lrTb"/>
            <w:noWrap w:val="false"/>
          </w:tcPr>
          <w:p>
            <w:pPr>
              <w:pStyle w:val="670"/>
              <w:jc w:val="center"/>
              <w:rPr>
                <w:rFonts w:ascii="PT Astra Serif" w:hAnsi="PT Astra Serif" w:cs="Times New Roman"/>
                <w:b w:val="false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false"/>
                <w:sz w:val="26"/>
                <w:szCs w:val="26"/>
              </w:rPr>
              <w:t xml:space="preserve">В течение года</w:t>
            </w:r>
            <w:r/>
          </w:p>
        </w:tc>
      </w:tr>
    </w:tbl>
    <w:p>
      <w:pPr>
        <w:pStyle w:val="67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sectPr>
      <w:headerReference w:type="default" r:id="rId9"/>
      <w:footnotePr/>
      <w:type w:val="nextPage"/>
      <w:pgSz w:w="16838" w:h="11906" w:orient="landscape"/>
      <w:pgMar w:top="993" w:right="851" w:bottom="284" w:left="85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PT Astra Serif">
    <w:panose1 w:val="020A07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47300827"/>
      <w:docPartObj>
        <w:docPartGallery w:val="Page Numbers (Top of Page)"/>
        <w:docPartUnique w:val="true"/>
      </w:docPartObj>
      <w:rPr/>
    </w:sdtPr>
    <w:sdtContent>
      <w:p>
        <w:pPr>
          <w:pStyle w:val="662"/>
          <w:rPr>
            <w:b w:val="false"/>
            <w:sz w:val="26"/>
            <w:szCs w:val="26"/>
          </w:rPr>
        </w:pPr>
        <w:r>
          <w:rPr>
            <w:b w:val="false"/>
            <w:sz w:val="26"/>
            <w:szCs w:val="26"/>
          </w:rPr>
          <w:fldChar w:fldCharType="begin"/>
        </w:r>
        <w:r>
          <w:rPr>
            <w:b w:val="false"/>
            <w:sz w:val="26"/>
            <w:szCs w:val="26"/>
          </w:rPr>
          <w:instrText xml:space="preserve"> PAGE   \* MERGEFORMAT </w:instrText>
        </w:r>
        <w:r>
          <w:rPr>
            <w:b w:val="false"/>
            <w:sz w:val="26"/>
            <w:szCs w:val="26"/>
          </w:rPr>
          <w:fldChar w:fldCharType="separate"/>
        </w:r>
        <w:r>
          <w:rPr>
            <w:b w:val="false"/>
            <w:sz w:val="26"/>
            <w:szCs w:val="26"/>
          </w:rPr>
          <w:t xml:space="preserve">5</w:t>
        </w:r>
        <w:r>
          <w:rPr>
            <w:b w:val="false"/>
            <w:sz w:val="26"/>
            <w:szCs w:val="26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41537660"/>
      <w:docPartObj>
        <w:docPartGallery w:val="Page Numbers (Top of Page)"/>
        <w:docPartUnique w:val="true"/>
      </w:docPartObj>
      <w:rPr/>
    </w:sdtPr>
    <w:sdtContent>
      <w:p>
        <w:pPr>
          <w:pStyle w:val="662"/>
          <w:rPr>
            <w:b w:val="false"/>
            <w:sz w:val="26"/>
            <w:szCs w:val="26"/>
          </w:rPr>
        </w:pPr>
        <w:r>
          <w:rPr>
            <w:b w:val="false"/>
            <w:sz w:val="26"/>
            <w:szCs w:val="26"/>
          </w:rPr>
          <w:fldChar w:fldCharType="begin"/>
        </w:r>
        <w:r>
          <w:rPr>
            <w:b w:val="false"/>
            <w:sz w:val="26"/>
            <w:szCs w:val="26"/>
          </w:rPr>
          <w:instrText xml:space="preserve"> PAGE   \* MERGEFORMAT </w:instrText>
        </w:r>
        <w:r>
          <w:rPr>
            <w:b w:val="false"/>
            <w:sz w:val="26"/>
            <w:szCs w:val="26"/>
          </w:rPr>
          <w:fldChar w:fldCharType="separate"/>
        </w:r>
        <w:r>
          <w:rPr>
            <w:b w:val="false"/>
            <w:sz w:val="26"/>
            <w:szCs w:val="26"/>
          </w:rPr>
          <w:t xml:space="preserve">8</w:t>
        </w:r>
        <w:r>
          <w:rPr>
            <w:b w:val="false"/>
            <w:sz w:val="26"/>
            <w:szCs w:val="26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95" w:hanging="735"/>
        <w:tabs>
          <w:tab w:val="num" w:pos="1095" w:leader="none"/>
        </w:tabs>
      </w:pPr>
      <w:rPr>
        <w:rFonts w:hint="default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4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5" w:hanging="435"/>
        <w:tabs>
          <w:tab w:val="num" w:pos="79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  <w:tabs>
          <w:tab w:val="num" w:pos="1440" w:leader="none"/>
        </w:tabs>
      </w:pPr>
      <w:rPr>
        <w:rFonts w:ascii="Times New Roman" w:hAnsi="Times New Roman" w:cs="Times New Roman" w:eastAsia="Times New Roman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980" w:firstLine="0"/>
        <w:tabs>
          <w:tab w:val="num" w:pos="2340" w:leader="none"/>
        </w:tabs>
      </w:pPr>
      <w:rPr>
        <w:rFonts w:ascii="Symbol" w:hAnsi="Symbol"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  <w:tabs>
          <w:tab w:val="num" w:pos="1440" w:leader="none"/>
        </w:tabs>
      </w:pPr>
      <w:rPr>
        <w:rFonts w:ascii="Times New Roman" w:hAnsi="Times New Roman" w:cs="Times New Roman" w:eastAsia="Times New Roman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-"/>
      <w:lvlJc w:val="left"/>
      <w:pPr>
        <w:ind w:left="1455" w:hanging="375"/>
        <w:tabs>
          <w:tab w:val="num" w:pos="1455" w:leader="none"/>
        </w:tabs>
      </w:pPr>
      <w:rPr>
        <w:rFonts w:ascii="Times New Roman" w:hAnsi="Times New Roman" w:cs="Times New Roman" w:eastAsia="Times New Roman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930" w:hanging="570"/>
        <w:tabs>
          <w:tab w:val="num" w:pos="9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70" w:hanging="570"/>
        <w:tabs>
          <w:tab w:val="num" w:pos="5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930" w:hanging="570"/>
        <w:tabs>
          <w:tab w:val="num" w:pos="9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0" w:hanging="420"/>
        <w:tabs>
          <w:tab w:val="num" w:pos="78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0" w:hanging="390"/>
        <w:tabs>
          <w:tab w:val="num" w:pos="7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70" w:hanging="570"/>
        <w:tabs>
          <w:tab w:val="num" w:pos="5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29"/>
      <w:numFmt w:val="bullet"/>
      <w:isLgl w:val="false"/>
      <w:suff w:val="tab"/>
      <w:lvlText w:val="-"/>
      <w:lvlJc w:val="left"/>
      <w:pPr>
        <w:ind w:left="1440" w:hanging="360"/>
        <w:tabs>
          <w:tab w:val="num" w:pos="1440" w:leader="none"/>
        </w:tabs>
      </w:pPr>
      <w:rPr>
        <w:rFonts w:ascii="Times New Roman" w:hAnsi="Times New Roman" w:cs="Times New Roman" w:eastAsia="Times New Roman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  <w:tabs>
          <w:tab w:val="num" w:pos="1440" w:leader="none"/>
        </w:tabs>
      </w:pPr>
      <w:rPr>
        <w:rFonts w:ascii="Times New Roman" w:hAnsi="Times New Roman" w:cs="Times New Roman" w:eastAsia="Times New Roman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cs="Times New Roman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cs="Times New Roman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cs="Times New Roman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cs="Times New Roman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cs="Times New Roman"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2160"/>
        <w:tabs>
          <w:tab w:val="num" w:pos="5040" w:leader="none"/>
        </w:tabs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75" w:hanging="405"/>
        <w:tabs>
          <w:tab w:val="num" w:pos="97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50" w:hanging="360"/>
        <w:tabs>
          <w:tab w:val="num" w:pos="165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70" w:hanging="180"/>
        <w:tabs>
          <w:tab w:val="num" w:pos="237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90" w:hanging="360"/>
        <w:tabs>
          <w:tab w:val="num" w:pos="309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10" w:hanging="360"/>
        <w:tabs>
          <w:tab w:val="num" w:pos="381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30" w:hanging="180"/>
        <w:tabs>
          <w:tab w:val="num" w:pos="453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50" w:hanging="360"/>
        <w:tabs>
          <w:tab w:val="num" w:pos="525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70" w:hanging="360"/>
        <w:tabs>
          <w:tab w:val="num" w:pos="597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90" w:hanging="180"/>
        <w:tabs>
          <w:tab w:val="num" w:pos="6690" w:leader="none"/>
        </w:tabs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1">
      <w:start w:val="2"/>
      <w:numFmt w:val="bullet"/>
      <w:isLgl w:val="false"/>
      <w:suff w:val="tab"/>
      <w:lvlText w:val="-"/>
      <w:lvlJc w:val="left"/>
      <w:pPr>
        <w:ind w:left="1440" w:hanging="360"/>
        <w:tabs>
          <w:tab w:val="num" w:pos="1440" w:leader="none"/>
        </w:tabs>
      </w:pPr>
      <w:rPr>
        <w:rFonts w:ascii="Times New Roman" w:hAnsi="Times New Roman" w:cs="Times New Roman" w:eastAsia="Times New Roman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3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5" w:hanging="405"/>
        <w:tabs>
          <w:tab w:val="num" w:pos="76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525"/>
        <w:tabs>
          <w:tab w:val="num" w:pos="88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80"/>
        <w:tabs>
          <w:tab w:val="num" w:pos="84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200" w:hanging="480"/>
        <w:tabs>
          <w:tab w:val="num" w:pos="12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5" w:hanging="405"/>
        <w:tabs>
          <w:tab w:val="num" w:pos="76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35"/>
  </w:num>
  <w:num w:numId="2">
    <w:abstractNumId w:val="46"/>
  </w:num>
  <w:num w:numId="3">
    <w:abstractNumId w:val="3"/>
  </w:num>
  <w:num w:numId="4">
    <w:abstractNumId w:val="30"/>
  </w:num>
  <w:num w:numId="5">
    <w:abstractNumId w:val="32"/>
  </w:num>
  <w:num w:numId="6">
    <w:abstractNumId w:val="38"/>
  </w:num>
  <w:num w:numId="7">
    <w:abstractNumId w:val="12"/>
  </w:num>
  <w:num w:numId="8">
    <w:abstractNumId w:val="2"/>
  </w:num>
  <w:num w:numId="9">
    <w:abstractNumId w:val="19"/>
  </w:num>
  <w:num w:numId="10">
    <w:abstractNumId w:val="42"/>
  </w:num>
  <w:num w:numId="11">
    <w:abstractNumId w:val="13"/>
  </w:num>
  <w:num w:numId="12">
    <w:abstractNumId w:val="20"/>
  </w:num>
  <w:num w:numId="13">
    <w:abstractNumId w:val="28"/>
  </w:num>
  <w:num w:numId="14">
    <w:abstractNumId w:val="33"/>
  </w:num>
  <w:num w:numId="15">
    <w:abstractNumId w:val="31"/>
  </w:num>
  <w:num w:numId="16">
    <w:abstractNumId w:val="14"/>
  </w:num>
  <w:num w:numId="17">
    <w:abstractNumId w:val="16"/>
  </w:num>
  <w:num w:numId="18">
    <w:abstractNumId w:val="11"/>
  </w:num>
  <w:num w:numId="19">
    <w:abstractNumId w:val="21"/>
  </w:num>
  <w:num w:numId="20">
    <w:abstractNumId w:val="10"/>
  </w:num>
  <w:num w:numId="21">
    <w:abstractNumId w:val="39"/>
  </w:num>
  <w:num w:numId="22">
    <w:abstractNumId w:val="44"/>
  </w:num>
  <w:num w:numId="23">
    <w:abstractNumId w:val="8"/>
  </w:num>
  <w:num w:numId="24">
    <w:abstractNumId w:val="34"/>
  </w:num>
  <w:num w:numId="25">
    <w:abstractNumId w:val="36"/>
  </w:num>
  <w:num w:numId="26">
    <w:abstractNumId w:val="22"/>
  </w:num>
  <w:num w:numId="27">
    <w:abstractNumId w:val="41"/>
  </w:num>
  <w:num w:numId="28">
    <w:abstractNumId w:val="0"/>
  </w:num>
  <w:num w:numId="29">
    <w:abstractNumId w:val="37"/>
  </w:num>
  <w:num w:numId="30">
    <w:abstractNumId w:val="15"/>
  </w:num>
  <w:num w:numId="31">
    <w:abstractNumId w:val="17"/>
  </w:num>
  <w:num w:numId="32">
    <w:abstractNumId w:val="23"/>
  </w:num>
  <w:num w:numId="33">
    <w:abstractNumId w:val="24"/>
  </w:num>
  <w:num w:numId="34">
    <w:abstractNumId w:val="25"/>
  </w:num>
  <w:num w:numId="35">
    <w:abstractNumId w:val="5"/>
  </w:num>
  <w:num w:numId="36">
    <w:abstractNumId w:val="40"/>
  </w:num>
  <w:num w:numId="37">
    <w:abstractNumId w:val="18"/>
  </w:num>
  <w:num w:numId="38">
    <w:abstractNumId w:val="1"/>
  </w:num>
  <w:num w:numId="39">
    <w:abstractNumId w:val="9"/>
  </w:num>
  <w:num w:numId="40">
    <w:abstractNumId w:val="45"/>
  </w:num>
  <w:num w:numId="41">
    <w:abstractNumId w:val="6"/>
  </w:num>
  <w:num w:numId="42">
    <w:abstractNumId w:val="26"/>
  </w:num>
  <w:num w:numId="43">
    <w:abstractNumId w:val="29"/>
  </w:num>
  <w:num w:numId="44">
    <w:abstractNumId w:val="7"/>
  </w:num>
  <w:num w:numId="45">
    <w:abstractNumId w:val="27"/>
  </w:num>
  <w:num w:numId="46">
    <w:abstractNumId w:val="4"/>
  </w:num>
  <w:num w:numId="47">
    <w:abstractNumId w:val="4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494"/>
    <w:link w:val="485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494"/>
    <w:link w:val="486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494"/>
    <w:link w:val="487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494"/>
    <w:link w:val="488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494"/>
    <w:link w:val="489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494"/>
    <w:link w:val="490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494"/>
    <w:link w:val="49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494"/>
    <w:link w:val="492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494"/>
    <w:link w:val="493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494"/>
    <w:link w:val="661"/>
    <w:uiPriority w:val="10"/>
    <w:rPr>
      <w:sz w:val="48"/>
      <w:szCs w:val="48"/>
    </w:rPr>
  </w:style>
  <w:style w:type="character" w:styleId="35">
    <w:name w:val="Subtitle Char"/>
    <w:basedOn w:val="494"/>
    <w:link w:val="508"/>
    <w:uiPriority w:val="11"/>
    <w:rPr>
      <w:sz w:val="24"/>
      <w:szCs w:val="24"/>
    </w:rPr>
  </w:style>
  <w:style w:type="character" w:styleId="37">
    <w:name w:val="Quote Char"/>
    <w:link w:val="510"/>
    <w:uiPriority w:val="29"/>
    <w:rPr>
      <w:i/>
    </w:rPr>
  </w:style>
  <w:style w:type="character" w:styleId="39">
    <w:name w:val="Intense Quote Char"/>
    <w:link w:val="512"/>
    <w:uiPriority w:val="30"/>
    <w:rPr>
      <w:i/>
    </w:rPr>
  </w:style>
  <w:style w:type="character" w:styleId="174">
    <w:name w:val="Footnote Text Char"/>
    <w:link w:val="643"/>
    <w:uiPriority w:val="99"/>
    <w:rPr>
      <w:sz w:val="18"/>
    </w:rPr>
  </w:style>
  <w:style w:type="paragraph" w:styleId="484" w:default="1">
    <w:name w:val="Normal"/>
    <w:qFormat/>
    <w:rPr>
      <w:sz w:val="24"/>
      <w:szCs w:val="24"/>
    </w:rPr>
  </w:style>
  <w:style w:type="paragraph" w:styleId="485">
    <w:name w:val="Heading 1"/>
    <w:basedOn w:val="484"/>
    <w:next w:val="484"/>
    <w:link w:val="497"/>
    <w:qFormat/>
    <w:rPr>
      <w:b/>
      <w:bCs/>
      <w:sz w:val="36"/>
    </w:rPr>
    <w:pPr>
      <w:jc w:val="both"/>
      <w:keepNext/>
      <w:outlineLvl w:val="0"/>
    </w:pPr>
  </w:style>
  <w:style w:type="paragraph" w:styleId="486">
    <w:name w:val="Heading 2"/>
    <w:basedOn w:val="484"/>
    <w:next w:val="484"/>
    <w:link w:val="498"/>
    <w:qFormat/>
    <w:rPr>
      <w:b/>
      <w:bCs/>
      <w:sz w:val="28"/>
      <w:u w:val="single"/>
    </w:rPr>
    <w:pPr>
      <w:jc w:val="both"/>
      <w:keepNext/>
      <w:outlineLvl w:val="1"/>
    </w:pPr>
  </w:style>
  <w:style w:type="paragraph" w:styleId="487">
    <w:name w:val="Heading 3"/>
    <w:basedOn w:val="484"/>
    <w:next w:val="484"/>
    <w:link w:val="499"/>
    <w:qFormat/>
    <w:rPr>
      <w:sz w:val="28"/>
    </w:rPr>
    <w:pPr>
      <w:jc w:val="both"/>
      <w:keepNext/>
      <w:outlineLvl w:val="2"/>
    </w:pPr>
  </w:style>
  <w:style w:type="paragraph" w:styleId="488">
    <w:name w:val="Heading 4"/>
    <w:basedOn w:val="484"/>
    <w:next w:val="484"/>
    <w:link w:val="500"/>
    <w:qFormat/>
    <w:rPr>
      <w:b/>
      <w:bCs/>
      <w:sz w:val="28"/>
    </w:rPr>
    <w:pPr>
      <w:jc w:val="both"/>
      <w:keepNext/>
      <w:outlineLvl w:val="3"/>
    </w:pPr>
  </w:style>
  <w:style w:type="paragraph" w:styleId="489">
    <w:name w:val="Heading 5"/>
    <w:basedOn w:val="484"/>
    <w:next w:val="484"/>
    <w:link w:val="501"/>
    <w:qFormat/>
    <w:rPr>
      <w:sz w:val="28"/>
    </w:rPr>
    <w:pPr>
      <w:keepNext/>
      <w:outlineLvl w:val="4"/>
    </w:pPr>
  </w:style>
  <w:style w:type="paragraph" w:styleId="490">
    <w:name w:val="Heading 6"/>
    <w:basedOn w:val="484"/>
    <w:next w:val="484"/>
    <w:link w:val="50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491">
    <w:name w:val="Heading 7"/>
    <w:basedOn w:val="484"/>
    <w:next w:val="484"/>
    <w:link w:val="50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92">
    <w:name w:val="Heading 8"/>
    <w:basedOn w:val="484"/>
    <w:next w:val="484"/>
    <w:link w:val="50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93">
    <w:name w:val="Heading 9"/>
    <w:basedOn w:val="484"/>
    <w:next w:val="484"/>
    <w:link w:val="50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94" w:default="1">
    <w:name w:val="Default Paragraph Font"/>
    <w:uiPriority w:val="1"/>
    <w:semiHidden/>
    <w:unhideWhenUsed/>
  </w:style>
  <w:style w:type="table" w:styleId="4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96" w:default="1">
    <w:name w:val="No List"/>
    <w:uiPriority w:val="99"/>
    <w:semiHidden/>
    <w:unhideWhenUsed/>
  </w:style>
  <w:style w:type="character" w:styleId="497" w:customStyle="1">
    <w:name w:val="Заголовок 1 Знак"/>
    <w:basedOn w:val="494"/>
    <w:link w:val="485"/>
    <w:uiPriority w:val="9"/>
    <w:rPr>
      <w:rFonts w:ascii="Arial" w:hAnsi="Arial" w:cs="Arial" w:eastAsia="Arial"/>
      <w:sz w:val="40"/>
      <w:szCs w:val="40"/>
    </w:rPr>
  </w:style>
  <w:style w:type="character" w:styleId="498" w:customStyle="1">
    <w:name w:val="Заголовок 2 Знак"/>
    <w:basedOn w:val="494"/>
    <w:link w:val="486"/>
    <w:uiPriority w:val="9"/>
    <w:rPr>
      <w:rFonts w:ascii="Arial" w:hAnsi="Arial" w:cs="Arial" w:eastAsia="Arial"/>
      <w:sz w:val="34"/>
    </w:rPr>
  </w:style>
  <w:style w:type="character" w:styleId="499" w:customStyle="1">
    <w:name w:val="Заголовок 3 Знак"/>
    <w:basedOn w:val="494"/>
    <w:link w:val="487"/>
    <w:uiPriority w:val="9"/>
    <w:rPr>
      <w:rFonts w:ascii="Arial" w:hAnsi="Arial" w:cs="Arial" w:eastAsia="Arial"/>
      <w:sz w:val="30"/>
      <w:szCs w:val="30"/>
    </w:rPr>
  </w:style>
  <w:style w:type="character" w:styleId="500" w:customStyle="1">
    <w:name w:val="Заголовок 4 Знак"/>
    <w:basedOn w:val="494"/>
    <w:link w:val="488"/>
    <w:uiPriority w:val="9"/>
    <w:rPr>
      <w:rFonts w:ascii="Arial" w:hAnsi="Arial" w:cs="Arial" w:eastAsia="Arial"/>
      <w:b/>
      <w:bCs/>
      <w:sz w:val="26"/>
      <w:szCs w:val="26"/>
    </w:rPr>
  </w:style>
  <w:style w:type="character" w:styleId="501" w:customStyle="1">
    <w:name w:val="Заголовок 5 Знак"/>
    <w:basedOn w:val="494"/>
    <w:link w:val="489"/>
    <w:uiPriority w:val="9"/>
    <w:rPr>
      <w:rFonts w:ascii="Arial" w:hAnsi="Arial" w:cs="Arial" w:eastAsia="Arial"/>
      <w:b/>
      <w:bCs/>
      <w:sz w:val="24"/>
      <w:szCs w:val="24"/>
    </w:rPr>
  </w:style>
  <w:style w:type="character" w:styleId="502" w:customStyle="1">
    <w:name w:val="Заголовок 6 Знак"/>
    <w:basedOn w:val="494"/>
    <w:link w:val="490"/>
    <w:uiPriority w:val="9"/>
    <w:rPr>
      <w:rFonts w:ascii="Arial" w:hAnsi="Arial" w:cs="Arial" w:eastAsia="Arial"/>
      <w:b/>
      <w:bCs/>
      <w:sz w:val="22"/>
      <w:szCs w:val="22"/>
    </w:rPr>
  </w:style>
  <w:style w:type="character" w:styleId="503" w:customStyle="1">
    <w:name w:val="Заголовок 7 Знак"/>
    <w:basedOn w:val="494"/>
    <w:link w:val="49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04" w:customStyle="1">
    <w:name w:val="Заголовок 8 Знак"/>
    <w:basedOn w:val="494"/>
    <w:link w:val="492"/>
    <w:uiPriority w:val="9"/>
    <w:rPr>
      <w:rFonts w:ascii="Arial" w:hAnsi="Arial" w:cs="Arial" w:eastAsia="Arial"/>
      <w:i/>
      <w:iCs/>
      <w:sz w:val="22"/>
      <w:szCs w:val="22"/>
    </w:rPr>
  </w:style>
  <w:style w:type="character" w:styleId="505" w:customStyle="1">
    <w:name w:val="Заголовок 9 Знак"/>
    <w:basedOn w:val="494"/>
    <w:link w:val="493"/>
    <w:uiPriority w:val="9"/>
    <w:rPr>
      <w:rFonts w:ascii="Arial" w:hAnsi="Arial" w:cs="Arial" w:eastAsia="Arial"/>
      <w:i/>
      <w:iCs/>
      <w:sz w:val="21"/>
      <w:szCs w:val="21"/>
    </w:rPr>
  </w:style>
  <w:style w:type="paragraph" w:styleId="506">
    <w:name w:val="No Spacing"/>
    <w:qFormat/>
    <w:uiPriority w:val="1"/>
  </w:style>
  <w:style w:type="character" w:styleId="507" w:customStyle="1">
    <w:name w:val="Название Знак"/>
    <w:basedOn w:val="494"/>
    <w:link w:val="661"/>
    <w:uiPriority w:val="10"/>
    <w:rPr>
      <w:sz w:val="48"/>
      <w:szCs w:val="48"/>
    </w:rPr>
  </w:style>
  <w:style w:type="paragraph" w:styleId="508">
    <w:name w:val="Subtitle"/>
    <w:basedOn w:val="484"/>
    <w:next w:val="484"/>
    <w:link w:val="509"/>
    <w:qFormat/>
    <w:uiPriority w:val="11"/>
    <w:pPr>
      <w:spacing w:after="200" w:before="200"/>
    </w:pPr>
  </w:style>
  <w:style w:type="character" w:styleId="509" w:customStyle="1">
    <w:name w:val="Подзаголовок Знак"/>
    <w:basedOn w:val="494"/>
    <w:link w:val="508"/>
    <w:uiPriority w:val="11"/>
    <w:rPr>
      <w:sz w:val="24"/>
      <w:szCs w:val="24"/>
    </w:rPr>
  </w:style>
  <w:style w:type="paragraph" w:styleId="510">
    <w:name w:val="Quote"/>
    <w:basedOn w:val="484"/>
    <w:next w:val="484"/>
    <w:link w:val="511"/>
    <w:qFormat/>
    <w:uiPriority w:val="29"/>
    <w:rPr>
      <w:i/>
    </w:rPr>
    <w:pPr>
      <w:ind w:left="720" w:right="720"/>
    </w:pPr>
  </w:style>
  <w:style w:type="character" w:styleId="511" w:customStyle="1">
    <w:name w:val="Цитата 2 Знак"/>
    <w:link w:val="510"/>
    <w:uiPriority w:val="29"/>
    <w:rPr>
      <w:i/>
    </w:rPr>
  </w:style>
  <w:style w:type="paragraph" w:styleId="512">
    <w:name w:val="Intense Quote"/>
    <w:basedOn w:val="484"/>
    <w:next w:val="484"/>
    <w:link w:val="513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13" w:customStyle="1">
    <w:name w:val="Выделенная цитата Знак"/>
    <w:link w:val="512"/>
    <w:uiPriority w:val="30"/>
    <w:rPr>
      <w:i/>
    </w:rPr>
  </w:style>
  <w:style w:type="character" w:styleId="514" w:customStyle="1">
    <w:name w:val="Header Char"/>
    <w:basedOn w:val="494"/>
    <w:uiPriority w:val="99"/>
  </w:style>
  <w:style w:type="character" w:styleId="515" w:customStyle="1">
    <w:name w:val="Footer Char"/>
    <w:basedOn w:val="494"/>
    <w:uiPriority w:val="99"/>
  </w:style>
  <w:style w:type="paragraph" w:styleId="516">
    <w:name w:val="Caption"/>
    <w:basedOn w:val="484"/>
    <w:next w:val="48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517" w:customStyle="1">
    <w:name w:val="Caption Char"/>
    <w:uiPriority w:val="99"/>
  </w:style>
  <w:style w:type="table" w:styleId="518" w:customStyle="1">
    <w:name w:val="Table Grid Light"/>
    <w:basedOn w:val="495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9">
    <w:name w:val="Plain Table 1"/>
    <w:basedOn w:val="495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0">
    <w:name w:val="Plain Table 2"/>
    <w:basedOn w:val="495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1">
    <w:name w:val="Plain Table 3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2">
    <w:name w:val="Plain Table 4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3">
    <w:name w:val="Plain Table 5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24">
    <w:name w:val="Grid Table 1 Light"/>
    <w:basedOn w:val="495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5" w:customStyle="1">
    <w:name w:val="Grid Table 1 Light - Accent 1"/>
    <w:basedOn w:val="495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 w:customStyle="1">
    <w:name w:val="Grid Table 1 Light - Accent 2"/>
    <w:basedOn w:val="495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7" w:customStyle="1">
    <w:name w:val="Grid Table 1 Light - Accent 3"/>
    <w:basedOn w:val="495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8" w:customStyle="1">
    <w:name w:val="Grid Table 1 Light - Accent 4"/>
    <w:basedOn w:val="495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9" w:customStyle="1">
    <w:name w:val="Grid Table 1 Light - Accent 5"/>
    <w:basedOn w:val="49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0" w:customStyle="1">
    <w:name w:val="Grid Table 1 Light - Accent 6"/>
    <w:basedOn w:val="495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1">
    <w:name w:val="Grid Table 2"/>
    <w:basedOn w:val="49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32" w:customStyle="1">
    <w:name w:val="Grid Table 2 - Accent 1"/>
    <w:basedOn w:val="495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33" w:customStyle="1">
    <w:name w:val="Grid Table 2 - Accent 2"/>
    <w:basedOn w:val="495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4" w:customStyle="1">
    <w:name w:val="Grid Table 2 - Accent 3"/>
    <w:basedOn w:val="495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5" w:customStyle="1">
    <w:name w:val="Grid Table 2 - Accent 4"/>
    <w:basedOn w:val="495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6" w:customStyle="1">
    <w:name w:val="Grid Table 2 - Accent 5"/>
    <w:basedOn w:val="49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37" w:customStyle="1">
    <w:name w:val="Grid Table 2 - Accent 6"/>
    <w:basedOn w:val="495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Grid Table 3"/>
    <w:basedOn w:val="49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39" w:customStyle="1">
    <w:name w:val="Grid Table 3 - Accent 1"/>
    <w:basedOn w:val="495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0" w:customStyle="1">
    <w:name w:val="Grid Table 3 - Accent 2"/>
    <w:basedOn w:val="495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1" w:customStyle="1">
    <w:name w:val="Grid Table 3 - Accent 3"/>
    <w:basedOn w:val="495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Grid Table 3 - Accent 4"/>
    <w:basedOn w:val="495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Grid Table 3 - Accent 5"/>
    <w:basedOn w:val="49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Grid Table 3 - Accent 6"/>
    <w:basedOn w:val="495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5">
    <w:name w:val="Grid Table 4"/>
    <w:basedOn w:val="495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46" w:customStyle="1">
    <w:name w:val="Grid Table 4 - Accent 1"/>
    <w:basedOn w:val="495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547" w:customStyle="1">
    <w:name w:val="Grid Table 4 - Accent 2"/>
    <w:basedOn w:val="495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548" w:customStyle="1">
    <w:name w:val="Grid Table 4 - Accent 3"/>
    <w:basedOn w:val="495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549" w:customStyle="1">
    <w:name w:val="Grid Table 4 - Accent 4"/>
    <w:basedOn w:val="495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550" w:customStyle="1">
    <w:name w:val="Grid Table 4 - Accent 5"/>
    <w:basedOn w:val="49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551" w:customStyle="1">
    <w:name w:val="Grid Table 4 - Accent 6"/>
    <w:basedOn w:val="495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552">
    <w:name w:val="Grid Table 5 Dark"/>
    <w:basedOn w:val="49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53" w:customStyle="1">
    <w:name w:val="Grid Table 5 Dark- Accent 1"/>
    <w:basedOn w:val="49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554" w:customStyle="1">
    <w:name w:val="Grid Table 5 Dark - Accent 2"/>
    <w:basedOn w:val="49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55" w:customStyle="1">
    <w:name w:val="Grid Table 5 Dark - Accent 3"/>
    <w:basedOn w:val="49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56" w:customStyle="1">
    <w:name w:val="Grid Table 5 Dark- Accent 4"/>
    <w:basedOn w:val="49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57" w:customStyle="1">
    <w:name w:val="Grid Table 5 Dark - Accent 5"/>
    <w:basedOn w:val="49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58" w:customStyle="1">
    <w:name w:val="Grid Table 5 Dark - Accent 6"/>
    <w:basedOn w:val="49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59">
    <w:name w:val="Grid Table 6 Colorful"/>
    <w:basedOn w:val="495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60" w:customStyle="1">
    <w:name w:val="Grid Table 6 Colorful - Accent 1"/>
    <w:basedOn w:val="495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61" w:customStyle="1">
    <w:name w:val="Grid Table 6 Colorful - Accent 2"/>
    <w:basedOn w:val="495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62" w:customStyle="1">
    <w:name w:val="Grid Table 6 Colorful - Accent 3"/>
    <w:basedOn w:val="495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63" w:customStyle="1">
    <w:name w:val="Grid Table 6 Colorful - Accent 4"/>
    <w:basedOn w:val="495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64" w:customStyle="1">
    <w:name w:val="Grid Table 6 Colorful - Accent 5"/>
    <w:basedOn w:val="49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65" w:customStyle="1">
    <w:name w:val="Grid Table 6 Colorful - Accent 6"/>
    <w:basedOn w:val="495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66">
    <w:name w:val="Grid Table 7 Colorful"/>
    <w:basedOn w:val="49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567" w:customStyle="1">
    <w:name w:val="Grid Table 7 Colorful - Accent 1"/>
    <w:basedOn w:val="495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568" w:customStyle="1">
    <w:name w:val="Grid Table 7 Colorful - Accent 2"/>
    <w:basedOn w:val="495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569" w:customStyle="1">
    <w:name w:val="Grid Table 7 Colorful - Accent 3"/>
    <w:basedOn w:val="495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570" w:customStyle="1">
    <w:name w:val="Grid Table 7 Colorful - Accent 4"/>
    <w:basedOn w:val="495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571" w:customStyle="1">
    <w:name w:val="Grid Table 7 Colorful - Accent 5"/>
    <w:basedOn w:val="49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572" w:customStyle="1">
    <w:name w:val="Grid Table 7 Colorful - Accent 6"/>
    <w:basedOn w:val="495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573">
    <w:name w:val="List Table 1 Light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74" w:customStyle="1">
    <w:name w:val="List Table 1 Light - Accent 1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75" w:customStyle="1">
    <w:name w:val="List Table 1 Light - Accent 2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76" w:customStyle="1">
    <w:name w:val="List Table 1 Light - Accent 3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77" w:customStyle="1">
    <w:name w:val="List Table 1 Light - Accent 4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78" w:customStyle="1">
    <w:name w:val="List Table 1 Light - Accent 5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79" w:customStyle="1">
    <w:name w:val="List Table 1 Light - Accent 6"/>
    <w:basedOn w:val="49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80">
    <w:name w:val="List Table 2"/>
    <w:basedOn w:val="495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81" w:customStyle="1">
    <w:name w:val="List Table 2 - Accent 1"/>
    <w:basedOn w:val="495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82" w:customStyle="1">
    <w:name w:val="List Table 2 - Accent 2"/>
    <w:basedOn w:val="495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83" w:customStyle="1">
    <w:name w:val="List Table 2 - Accent 3"/>
    <w:basedOn w:val="495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84" w:customStyle="1">
    <w:name w:val="List Table 2 - Accent 4"/>
    <w:basedOn w:val="495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85" w:customStyle="1">
    <w:name w:val="List Table 2 - Accent 5"/>
    <w:basedOn w:val="49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86" w:customStyle="1">
    <w:name w:val="List Table 2 - Accent 6"/>
    <w:basedOn w:val="495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87">
    <w:name w:val="List Table 3"/>
    <w:basedOn w:val="49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8" w:customStyle="1">
    <w:name w:val="List Table 3 - Accent 1"/>
    <w:basedOn w:val="495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9" w:customStyle="1">
    <w:name w:val="List Table 3 - Accent 2"/>
    <w:basedOn w:val="495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0" w:customStyle="1">
    <w:name w:val="List Table 3 - Accent 3"/>
    <w:basedOn w:val="495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1" w:customStyle="1">
    <w:name w:val="List Table 3 - Accent 4"/>
    <w:basedOn w:val="495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2" w:customStyle="1">
    <w:name w:val="List Table 3 - Accent 5"/>
    <w:basedOn w:val="49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3" w:customStyle="1">
    <w:name w:val="List Table 3 - Accent 6"/>
    <w:basedOn w:val="495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4">
    <w:name w:val="List Table 4"/>
    <w:basedOn w:val="49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5" w:customStyle="1">
    <w:name w:val="List Table 4 - Accent 1"/>
    <w:basedOn w:val="495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6" w:customStyle="1">
    <w:name w:val="List Table 4 - Accent 2"/>
    <w:basedOn w:val="495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7" w:customStyle="1">
    <w:name w:val="List Table 4 - Accent 3"/>
    <w:basedOn w:val="495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8" w:customStyle="1">
    <w:name w:val="List Table 4 - Accent 4"/>
    <w:basedOn w:val="495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9" w:customStyle="1">
    <w:name w:val="List Table 4 - Accent 5"/>
    <w:basedOn w:val="49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0" w:customStyle="1">
    <w:name w:val="List Table 4 - Accent 6"/>
    <w:basedOn w:val="495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1">
    <w:name w:val="List Table 5 Dark"/>
    <w:basedOn w:val="495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02" w:customStyle="1">
    <w:name w:val="List Table 5 Dark - Accent 1"/>
    <w:basedOn w:val="495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03" w:customStyle="1">
    <w:name w:val="List Table 5 Dark - Accent 2"/>
    <w:basedOn w:val="495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04" w:customStyle="1">
    <w:name w:val="List Table 5 Dark - Accent 3"/>
    <w:basedOn w:val="495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05" w:customStyle="1">
    <w:name w:val="List Table 5 Dark - Accent 4"/>
    <w:basedOn w:val="495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06" w:customStyle="1">
    <w:name w:val="List Table 5 Dark - Accent 5"/>
    <w:basedOn w:val="49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07" w:customStyle="1">
    <w:name w:val="List Table 5 Dark - Accent 6"/>
    <w:basedOn w:val="495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08">
    <w:name w:val="List Table 6 Colorful"/>
    <w:basedOn w:val="495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609" w:customStyle="1">
    <w:name w:val="List Table 6 Colorful - Accent 1"/>
    <w:basedOn w:val="495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610" w:customStyle="1">
    <w:name w:val="List Table 6 Colorful - Accent 2"/>
    <w:basedOn w:val="495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611" w:customStyle="1">
    <w:name w:val="List Table 6 Colorful - Accent 3"/>
    <w:basedOn w:val="495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612" w:customStyle="1">
    <w:name w:val="List Table 6 Colorful - Accent 4"/>
    <w:basedOn w:val="495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613" w:customStyle="1">
    <w:name w:val="List Table 6 Colorful - Accent 5"/>
    <w:basedOn w:val="49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614" w:customStyle="1">
    <w:name w:val="List Table 6 Colorful - Accent 6"/>
    <w:basedOn w:val="495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615">
    <w:name w:val="List Table 7 Colorful"/>
    <w:basedOn w:val="49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616" w:customStyle="1">
    <w:name w:val="List Table 7 Colorful - Accent 1"/>
    <w:basedOn w:val="495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617" w:customStyle="1">
    <w:name w:val="List Table 7 Colorful - Accent 2"/>
    <w:basedOn w:val="495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618" w:customStyle="1">
    <w:name w:val="List Table 7 Colorful - Accent 3"/>
    <w:basedOn w:val="495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619" w:customStyle="1">
    <w:name w:val="List Table 7 Colorful - Accent 4"/>
    <w:basedOn w:val="495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620" w:customStyle="1">
    <w:name w:val="List Table 7 Colorful - Accent 5"/>
    <w:basedOn w:val="49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621" w:customStyle="1">
    <w:name w:val="List Table 7 Colorful - Accent 6"/>
    <w:basedOn w:val="495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622" w:customStyle="1">
    <w:name w:val="Lined - Accent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23" w:customStyle="1">
    <w:name w:val="Lined - Accent 1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24" w:customStyle="1">
    <w:name w:val="Lined - Accent 2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25" w:customStyle="1">
    <w:name w:val="Lined - Accent 3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26" w:customStyle="1">
    <w:name w:val="Lined - Accent 4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27" w:customStyle="1">
    <w:name w:val="Lined - Accent 5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28" w:customStyle="1">
    <w:name w:val="Lined - Accent 6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29" w:customStyle="1">
    <w:name w:val="Bordered &amp; Lined - Accent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30" w:customStyle="1">
    <w:name w:val="Bordered &amp; Lined - Accent 1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31" w:customStyle="1">
    <w:name w:val="Bordered &amp; Lined - Accent 2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32" w:customStyle="1">
    <w:name w:val="Bordered &amp; Lined - Accent 3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33" w:customStyle="1">
    <w:name w:val="Bordered &amp; Lined - Accent 4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34" w:customStyle="1">
    <w:name w:val="Bordered &amp; Lined - Accent 5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35" w:customStyle="1">
    <w:name w:val="Bordered &amp; Lined - Accent 6"/>
    <w:basedOn w:val="495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36" w:customStyle="1">
    <w:name w:val="Bordered"/>
    <w:basedOn w:val="495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637" w:customStyle="1">
    <w:name w:val="Bordered - Accent 1"/>
    <w:basedOn w:val="495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638" w:customStyle="1">
    <w:name w:val="Bordered - Accent 2"/>
    <w:basedOn w:val="495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639" w:customStyle="1">
    <w:name w:val="Bordered - Accent 3"/>
    <w:basedOn w:val="495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640" w:customStyle="1">
    <w:name w:val="Bordered - Accent 4"/>
    <w:basedOn w:val="495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641" w:customStyle="1">
    <w:name w:val="Bordered - Accent 5"/>
    <w:basedOn w:val="49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642" w:customStyle="1">
    <w:name w:val="Bordered - Accent 6"/>
    <w:basedOn w:val="495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643">
    <w:name w:val="footnote text"/>
    <w:basedOn w:val="484"/>
    <w:link w:val="644"/>
    <w:uiPriority w:val="99"/>
    <w:semiHidden/>
    <w:unhideWhenUsed/>
    <w:rPr>
      <w:sz w:val="18"/>
    </w:rPr>
    <w:pPr>
      <w:spacing w:after="40"/>
    </w:pPr>
  </w:style>
  <w:style w:type="character" w:styleId="644" w:customStyle="1">
    <w:name w:val="Текст сноски Знак"/>
    <w:link w:val="643"/>
    <w:uiPriority w:val="99"/>
    <w:rPr>
      <w:sz w:val="18"/>
    </w:rPr>
  </w:style>
  <w:style w:type="character" w:styleId="645">
    <w:name w:val="footnote reference"/>
    <w:basedOn w:val="494"/>
    <w:uiPriority w:val="99"/>
    <w:unhideWhenUsed/>
    <w:rPr>
      <w:vertAlign w:val="superscript"/>
    </w:rPr>
  </w:style>
  <w:style w:type="paragraph" w:styleId="646">
    <w:name w:val="toc 1"/>
    <w:basedOn w:val="484"/>
    <w:next w:val="484"/>
    <w:uiPriority w:val="39"/>
    <w:unhideWhenUsed/>
    <w:pPr>
      <w:spacing w:after="57"/>
    </w:pPr>
  </w:style>
  <w:style w:type="paragraph" w:styleId="647">
    <w:name w:val="toc 2"/>
    <w:basedOn w:val="484"/>
    <w:next w:val="484"/>
    <w:uiPriority w:val="39"/>
    <w:unhideWhenUsed/>
    <w:pPr>
      <w:ind w:left="283"/>
      <w:spacing w:after="57"/>
    </w:pPr>
  </w:style>
  <w:style w:type="paragraph" w:styleId="648">
    <w:name w:val="toc 3"/>
    <w:basedOn w:val="484"/>
    <w:next w:val="484"/>
    <w:uiPriority w:val="39"/>
    <w:unhideWhenUsed/>
    <w:pPr>
      <w:ind w:left="567"/>
      <w:spacing w:after="57"/>
    </w:pPr>
  </w:style>
  <w:style w:type="paragraph" w:styleId="649">
    <w:name w:val="toc 4"/>
    <w:basedOn w:val="484"/>
    <w:next w:val="484"/>
    <w:uiPriority w:val="39"/>
    <w:unhideWhenUsed/>
    <w:pPr>
      <w:ind w:left="850"/>
      <w:spacing w:after="57"/>
    </w:pPr>
  </w:style>
  <w:style w:type="paragraph" w:styleId="650">
    <w:name w:val="toc 5"/>
    <w:basedOn w:val="484"/>
    <w:next w:val="484"/>
    <w:uiPriority w:val="39"/>
    <w:unhideWhenUsed/>
    <w:pPr>
      <w:ind w:left="1134"/>
      <w:spacing w:after="57"/>
    </w:pPr>
  </w:style>
  <w:style w:type="paragraph" w:styleId="651">
    <w:name w:val="toc 6"/>
    <w:basedOn w:val="484"/>
    <w:next w:val="484"/>
    <w:uiPriority w:val="39"/>
    <w:unhideWhenUsed/>
    <w:pPr>
      <w:ind w:left="1417"/>
      <w:spacing w:after="57"/>
    </w:pPr>
  </w:style>
  <w:style w:type="paragraph" w:styleId="652">
    <w:name w:val="toc 7"/>
    <w:basedOn w:val="484"/>
    <w:next w:val="484"/>
    <w:uiPriority w:val="39"/>
    <w:unhideWhenUsed/>
    <w:pPr>
      <w:ind w:left="1701"/>
      <w:spacing w:after="57"/>
    </w:pPr>
  </w:style>
  <w:style w:type="paragraph" w:styleId="653">
    <w:name w:val="toc 8"/>
    <w:basedOn w:val="484"/>
    <w:next w:val="484"/>
    <w:uiPriority w:val="39"/>
    <w:unhideWhenUsed/>
    <w:pPr>
      <w:ind w:left="1984"/>
      <w:spacing w:after="57"/>
    </w:pPr>
  </w:style>
  <w:style w:type="paragraph" w:styleId="654">
    <w:name w:val="toc 9"/>
    <w:basedOn w:val="484"/>
    <w:next w:val="484"/>
    <w:uiPriority w:val="39"/>
    <w:unhideWhenUsed/>
    <w:pPr>
      <w:ind w:left="2268"/>
      <w:spacing w:after="57"/>
    </w:pPr>
  </w:style>
  <w:style w:type="paragraph" w:styleId="655">
    <w:name w:val="TOC Heading"/>
    <w:uiPriority w:val="39"/>
    <w:unhideWhenUsed/>
  </w:style>
  <w:style w:type="paragraph" w:styleId="656">
    <w:name w:val="Body Text"/>
    <w:basedOn w:val="484"/>
    <w:semiHidden/>
    <w:rPr>
      <w:sz w:val="28"/>
    </w:rPr>
    <w:pPr>
      <w:jc w:val="both"/>
    </w:pPr>
  </w:style>
  <w:style w:type="paragraph" w:styleId="657">
    <w:name w:val="Body Text Indent"/>
    <w:basedOn w:val="484"/>
    <w:semiHidden/>
    <w:rPr>
      <w:sz w:val="28"/>
    </w:rPr>
    <w:pPr>
      <w:ind w:left="540"/>
      <w:jc w:val="both"/>
    </w:pPr>
  </w:style>
  <w:style w:type="paragraph" w:styleId="658">
    <w:name w:val="Body Text Indent 2"/>
    <w:basedOn w:val="484"/>
    <w:semiHidden/>
    <w:rPr>
      <w:sz w:val="28"/>
    </w:rPr>
    <w:pPr>
      <w:ind w:left="360"/>
      <w:jc w:val="both"/>
    </w:pPr>
  </w:style>
  <w:style w:type="paragraph" w:styleId="659">
    <w:name w:val="Body Text Indent 3"/>
    <w:basedOn w:val="484"/>
    <w:semiHidden/>
    <w:rPr>
      <w:sz w:val="28"/>
    </w:rPr>
    <w:pPr>
      <w:ind w:left="720"/>
      <w:jc w:val="both"/>
    </w:pPr>
  </w:style>
  <w:style w:type="paragraph" w:styleId="660">
    <w:name w:val="Body Text 2"/>
    <w:basedOn w:val="484"/>
    <w:semiHidden/>
    <w:rPr>
      <w:sz w:val="28"/>
    </w:rPr>
  </w:style>
  <w:style w:type="paragraph" w:styleId="661">
    <w:name w:val="Title"/>
    <w:basedOn w:val="484"/>
    <w:link w:val="507"/>
    <w:qFormat/>
    <w:rPr>
      <w:b/>
      <w:bCs/>
      <w:sz w:val="28"/>
    </w:rPr>
    <w:pPr>
      <w:jc w:val="center"/>
    </w:pPr>
  </w:style>
  <w:style w:type="paragraph" w:styleId="662">
    <w:name w:val="Header"/>
    <w:basedOn w:val="484"/>
    <w:link w:val="663"/>
    <w:uiPriority w:val="99"/>
    <w:rPr>
      <w:b/>
      <w:caps/>
      <w:sz w:val="28"/>
      <w:szCs w:val="20"/>
    </w:rPr>
    <w:pPr>
      <w:ind w:firstLine="709"/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663" w:customStyle="1">
    <w:name w:val="Верхний колонтитул Знак"/>
    <w:basedOn w:val="494"/>
    <w:link w:val="662"/>
    <w:uiPriority w:val="99"/>
    <w:rPr>
      <w:b/>
      <w:caps/>
      <w:sz w:val="28"/>
    </w:rPr>
  </w:style>
  <w:style w:type="paragraph" w:styleId="664">
    <w:name w:val="Balloon Text"/>
    <w:basedOn w:val="484"/>
    <w:link w:val="665"/>
    <w:uiPriority w:val="99"/>
    <w:semiHidden/>
    <w:unhideWhenUsed/>
    <w:rPr>
      <w:rFonts w:ascii="Tahoma" w:hAnsi="Tahoma" w:cs="Tahoma"/>
      <w:sz w:val="16"/>
      <w:szCs w:val="16"/>
    </w:rPr>
  </w:style>
  <w:style w:type="character" w:styleId="665" w:customStyle="1">
    <w:name w:val="Текст выноски Знак"/>
    <w:basedOn w:val="494"/>
    <w:link w:val="664"/>
    <w:uiPriority w:val="99"/>
    <w:semiHidden/>
    <w:rPr>
      <w:rFonts w:ascii="Tahoma" w:hAnsi="Tahoma" w:cs="Tahoma"/>
      <w:sz w:val="16"/>
      <w:szCs w:val="16"/>
    </w:rPr>
  </w:style>
  <w:style w:type="character" w:styleId="666">
    <w:name w:val="Hyperlink"/>
    <w:basedOn w:val="494"/>
    <w:uiPriority w:val="99"/>
    <w:unhideWhenUsed/>
    <w:rPr>
      <w:color w:val="0000FF"/>
      <w:u w:val="single"/>
    </w:rPr>
  </w:style>
  <w:style w:type="paragraph" w:styleId="667" w:customStyle="1">
    <w:name w:val="ConsPlusNormal"/>
    <w:rPr>
      <w:rFonts w:ascii="Arial" w:hAnsi="Arial" w:cs="Arial"/>
    </w:rPr>
    <w:pPr>
      <w:ind w:firstLine="720"/>
      <w:widowControl w:val="off"/>
    </w:pPr>
  </w:style>
  <w:style w:type="table" w:styleId="668">
    <w:name w:val="Table Grid"/>
    <w:basedOn w:val="495"/>
    <w:uiPriority w:val="59"/>
    <w:rPr>
      <w:rFonts w:ascii="Calibri" w:hAnsi="Calibri" w:eastAsia="Calibri"/>
    </w:rPr>
    <w:tblPr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V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69">
    <w:name w:val="List Paragraph"/>
    <w:basedOn w:val="484"/>
    <w:qFormat/>
    <w:uiPriority w:val="34"/>
    <w:pPr>
      <w:contextualSpacing w:val="true"/>
      <w:ind w:left="720"/>
    </w:pPr>
  </w:style>
  <w:style w:type="paragraph" w:styleId="670" w:customStyle="1">
    <w:name w:val="ConsPlusTitle"/>
    <w:uiPriority w:val="99"/>
    <w:rPr>
      <w:rFonts w:ascii="Calibri" w:hAnsi="Calibri" w:cs="Calibri"/>
      <w:b/>
      <w:sz w:val="22"/>
    </w:rPr>
    <w:pPr>
      <w:widowControl w:val="off"/>
    </w:pPr>
  </w:style>
  <w:style w:type="paragraph" w:styleId="671">
    <w:name w:val="Footer"/>
    <w:basedOn w:val="484"/>
    <w:link w:val="67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72" w:customStyle="1">
    <w:name w:val="Нижний колонтитул Знак"/>
    <w:basedOn w:val="494"/>
    <w:link w:val="671"/>
    <w:uiPriority w:val="99"/>
    <w:rPr>
      <w:sz w:val="24"/>
      <w:szCs w:val="24"/>
    </w:rPr>
  </w:style>
  <w:style w:type="paragraph" w:styleId="673" w:customStyle="1">
    <w:name w:val="Default"/>
    <w:rPr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yperlink" Target="consultantplus://offline/ref=B3D1FAD02E1FFD7112884EF471F5F8A2BB7B6670822059707AA0A04EC0F41D2232C1AE343BBB399EBB5D397EF76BFD8D5277770A0Ah0g9L" TargetMode="External"/><Relationship Id="rId11" Type="http://schemas.openxmlformats.org/officeDocument/2006/relationships/hyperlink" Target="consultantplus://offline/ref=CAB23EF4F104915E7F3D4809187D128AF9DDC24DFACD1E5D8E148536EA239E33AB0AE79FB9C1959E4C535A1CDC8D7AFADBD36307FCB88BF6L1Z1H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Р7-Офис/5.5.4.20</Application>
  <Company>DSZN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urist</dc:creator>
  <cp:keywords/>
  <dc:description/>
  <cp:revision>52</cp:revision>
  <dcterms:created xsi:type="dcterms:W3CDTF">2019-12-20T04:12:00Z</dcterms:created>
  <dcterms:modified xsi:type="dcterms:W3CDTF">2021-11-26T02:38:17Z</dcterms:modified>
</cp:coreProperties>
</file>