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color="auto" w:sz="4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bookmarkEnd w:id="0"/>
          <w:p>
            <w:pPr>
              <w:pStyle w:val="BodyText2"/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23.03.2026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spacing w:before="480"/>
              <w:ind w:right="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20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20.12.2023 № 47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</w:t>
      </w:r>
      <w:r>
        <w:rPr>
          <w:rFonts w:ascii="PT Astra Serif" w:hAnsi="PT Astra Serif"/>
          <w:sz w:val="28"/>
          <w:szCs w:val="28"/>
        </w:rPr>
        <w:t xml:space="preserve">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</w:t>
      </w:r>
      <w:r>
        <w:rPr>
          <w:rFonts w:ascii="PT Astra Serif" w:hAnsi="PT Astra Serif"/>
          <w:sz w:val="28"/>
          <w:szCs w:val="28"/>
        </w:rPr>
        <w:t xml:space="preserve">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</w:t>
      </w:r>
      <w:r>
        <w:rPr>
          <w:rFonts w:ascii="PT Astra Serif" w:hAnsi="PT Astra Serif"/>
          <w:sz w:val="28"/>
          <w:szCs w:val="28"/>
        </w:rPr>
        <w:t xml:space="preserve">нансирование капитальных вложений в объекты муниципальной собственности»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(</w:t>
      </w:r>
      <w:r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14" w:tooltip="http://(www.pravo.gov.ru" w:history="1">
        <w:r>
          <w:rPr>
            <w:rFonts w:ascii="PT Astra Serif" w:hAnsi="PT Astra Serif"/>
            <w:sz w:val="28"/>
            <w:szCs w:val="28"/>
          </w:rPr>
          <w:t xml:space="preserve">(www.pravo.gov.ru</w:t>
        </w:r>
      </w:hyperlink>
      <w:r>
        <w:rPr>
          <w:rFonts w:ascii="PT Astra Serif" w:hAnsi="PT Astra Serif"/>
          <w:sz w:val="28"/>
          <w:szCs w:val="28"/>
        </w:rPr>
        <w:t xml:space="preserve">), 21.12.2023, № 7001202312210050) </w:t>
      </w:r>
      <w:r>
        <w:rPr>
          <w:rFonts w:ascii="PT Astra Serif" w:hAnsi="PT Astra Serif"/>
          <w:sz w:val="28"/>
          <w:szCs w:val="28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</w:t>
      </w:r>
      <w:r>
        <w:rPr>
          <w:rFonts w:ascii="PT Astra Serif" w:hAnsi="PT Astra Serif"/>
          <w:sz w:val="28"/>
          <w:szCs w:val="28"/>
        </w:rPr>
        <w:t xml:space="preserve">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</w:t>
      </w:r>
      <w:r>
        <w:rPr>
          <w:rFonts w:ascii="PT Astra Serif" w:hAnsi="PT Astra Serif"/>
          <w:sz w:val="28"/>
          <w:szCs w:val="28"/>
        </w:rPr>
        <w:t xml:space="preserve">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 софинансирование    капитальных вложений в</w:t>
      </w:r>
    </w:p>
    <w:p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 w:clear="all"/>
      </w:r>
    </w:p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объекты муниципальной собственности, утвержденное </w:t>
      </w:r>
      <w:r>
        <w:rPr>
          <w:rFonts w:ascii="PT Astra Serif" w:hAnsi="PT Astra Serif"/>
          <w:sz w:val="28"/>
          <w:szCs w:val="28"/>
        </w:rPr>
        <w:t xml:space="preserve">указанным приказом, в новой редакции согласно приложению к настоящему приказу.</w:t>
      </w:r>
    </w:p>
    <w:p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ayout w:type="fixed"/>
        <w:tblLook w:val="04A0" w:firstRow="1" w:lastRow="0" w:firstColumn="1" w:lastColumn="0" w:noHBand="0" w:noVBand="1"/>
      </w:tblPr>
      <w:tblGrid>
        <w:gridCol w:w="3934"/>
        <w:gridCol w:w="3405"/>
        <w:gridCol w:w="3374"/>
      </w:tblGrid>
      <w:tr>
        <w:tblPrEx>
          <w:tblW w:w="10713" w:type="dxa"/>
          <w:tblLayout w:type="fixed"/>
          <w:tblLook w:val="04A0" w:firstRow="1" w:lastRow="0" w:firstColumn="1" w:lastColumn="0" w:noHBand="0" w:noVBand="1"/>
        </w:tblPrEx>
        <w:tc>
          <w:tcPr>
            <w:tcW w:w="393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И.о.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начальника Департамента </w:t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Кувшинова Е.А.</w:t>
            </w:r>
          </w:p>
        </w:tc>
        <w:tc>
          <w:tcPr>
            <w:tcW w:w="3405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Start w:id="2" w:name="_GoBack"/>
            <w:bookmarkEnd w:id="2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И.А. Куракина</w:t>
            </w: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  <w:sectPr>
          <w:headerReference w:type="even" r:id="rId6"/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pgNumType w:start="1"/>
          <w:cols w:space="720"/>
          <w:docGrid w:linePitch="360"/>
          <w:titlePg/>
        </w:sectPr>
      </w:pPr>
    </w:p>
    <w:tbl>
      <w:tblPr>
        <w:tblStyle w:val="TableGrid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>
          <w:tblW w:w="6379" w:type="dxa"/>
          <w:tblInd w:w="8080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c>
          <w:tcPr>
            <w:tcW w:w="6379" w:type="dxa"/>
          </w:tcPr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 приказу Департамента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Томской области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23.03.2026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20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</w:tr>
      <w:tr>
        <w:tblPrEx>
          <w:tblW w:w="6379" w:type="dxa"/>
          <w:tblInd w:w="8080" w:type="dxa"/>
          <w:tblLook w:val="04A0" w:firstRow="1" w:lastRow="0" w:firstColumn="1" w:lastColumn="0" w:noHBand="0" w:noVBand="1"/>
        </w:tblPrEx>
        <w:tc>
          <w:tcPr>
            <w:tcW w:w="6379" w:type="dxa"/>
          </w:tcPr>
          <w:p>
            <w:pPr>
              <w:tabs>
                <w:tab w:val="left" w:pos="7088"/>
              </w:tabs>
              <w:ind w:left="321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8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rPr>
          <w:trHeight w:val="1114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14935" w:type="dxa"/>
            <w:gridSpan w:val="1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Решение о подготовке и реализации бюджетных инвестиций в объекты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  <w:p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</w:tr>
      <w:tr>
        <w:trPr>
          <w:trHeight w:val="545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single" w:color="auto" w:sz="8" w:space="0"/>
              <w:left w:val="single" w:color="auto" w:sz="8" w:space="0"/>
              <w:bottom w:val="none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</w:t>
            </w:r>
          </w:p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пп</w:t>
            </w:r>
          </w:p>
        </w:tc>
        <w:tc>
          <w:tcPr>
            <w:tcW w:w="180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соответствии с ПСД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1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ГРБС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2</w:t>
            </w:r>
          </w:p>
        </w:tc>
        <w:tc>
          <w:tcPr>
            <w:tcW w:w="13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Направление инвестирова-ния (строите-льство (рекон-струкция, в том числе с элементами реставрации), техническое перевооруже-ние, приобретение)</w:t>
            </w:r>
          </w:p>
        </w:tc>
        <w:tc>
          <w:tcPr>
            <w:tcW w:w="97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собствен-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(о 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 –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муниципа-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льная)</w:t>
            </w:r>
          </w:p>
        </w:tc>
        <w:tc>
          <w:tcPr>
            <w:tcW w:w="100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государст-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венного (муниципа-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льного) заказчика</w:t>
            </w:r>
          </w:p>
        </w:tc>
        <w:tc>
          <w:tcPr>
            <w:tcW w:w="81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Мощ-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ность (приро-ст мощ-ности)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Объекта</w:t>
            </w:r>
          </w:p>
        </w:tc>
        <w:tc>
          <w:tcPr>
            <w:tcW w:w="88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Срок ввода в эксплуа-тацию (приоб-ретения) Объекта</w:t>
            </w:r>
          </w:p>
        </w:tc>
        <w:tc>
          <w:tcPr>
            <w:tcW w:w="141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Сметная стои-мость Объекта (при наличии ПСД), в ценах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планируемого периода или предполагаемая стоимость с вы-делением объема финансирования на разработку ПСД - всего, тыс. рублей</w:t>
            </w:r>
          </w:p>
        </w:tc>
        <w:tc>
          <w:tcPr>
            <w:tcW w:w="128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осуществле-ния капита-льных вло-жений (бюд-жетные инвес-тиции, суб-сидии учреж-дениям, субси-дии муниципа-льным образованиям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</w:t>
            </w:r>
          </w:p>
        </w:tc>
        <w:tc>
          <w:tcPr>
            <w:tcW w:w="3802" w:type="dxa"/>
            <w:gridSpan w:val="5"/>
            <w:tcBorders>
              <w:top w:val="single" w:color="auto" w:sz="8" w:space="0"/>
              <w:left w:val="none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>
        <w:trPr>
          <w:trHeight w:val="1985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 </w:t>
            </w:r>
          </w:p>
        </w:tc>
        <w:tc>
          <w:tcPr>
            <w:tcW w:w="180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источ-ник финан-сиро-вания</w:t>
            </w:r>
          </w:p>
        </w:tc>
        <w:tc>
          <w:tcPr>
            <w:tcW w:w="85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общий объем инвести-ций</w:t>
            </w:r>
          </w:p>
        </w:tc>
        <w:tc>
          <w:tcPr>
            <w:tcW w:w="82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84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2027</w:t>
            </w:r>
          </w:p>
        </w:tc>
        <w:tc>
          <w:tcPr>
            <w:tcW w:w="57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2028</w:t>
            </w:r>
          </w:p>
        </w:tc>
      </w:tr>
      <w:tr>
        <w:trPr>
          <w:trHeight w:val="263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01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24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w="1310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w="97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w="1006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w="817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w="880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w="1417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w="1284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w="70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11</w:t>
            </w:r>
          </w:p>
        </w:tc>
        <w:tc>
          <w:tcPr>
            <w:tcW w:w="85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w="82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w="84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w="57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</w:p>
        </w:tc>
      </w:tr>
      <w:tr>
        <w:trPr>
          <w:trHeight w:val="319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14935" w:type="dxa"/>
            <w:gridSpan w:val="15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</w:t>
            </w:r>
            <w:r>
              <w:rPr>
                <w:rFonts w:ascii="PT Astra Serif" w:hAnsi="PT Astra Serif"/>
                <w:sz w:val="14"/>
                <w:szCs w:val="14"/>
              </w:rPr>
              <w:t xml:space="preserve"> собственность Томской области и (или) муниципальную собственность, имеющие сметную стоимость</w:t>
            </w:r>
          </w:p>
        </w:tc>
      </w:tr>
    </w:tbl>
    <w:p>
      <w:r>
        <w:br w:type="page" w:clear="all"/>
      </w:r>
    </w:p>
    <w:tbl>
      <w:tblPr>
        <w:tblW w:w="14935" w:type="dxa"/>
        <w:tblInd w:w="57" w:type="dxa"/>
        <w:tblLayout w:type="fixed"/>
        <w:tblLook w:val="0000" w:firstRow="0" w:lastRow="0" w:firstColumn="0" w:lastColumn="0" w:noHBand="0" w:noVBand="0"/>
      </w:tblPr>
      <w:tblGrid>
        <w:gridCol w:w="388"/>
        <w:gridCol w:w="181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rPr>
          <w:trHeight w:val="27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w="978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w="708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5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w="82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w="84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w="57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</w:p>
        </w:tc>
      </w:tr>
      <w:tr>
        <w:trPr>
          <w:trHeight w:val="27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11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Строительство водозабора для ОГБУ «Итатский дом-интернат для престарелых и инвалидов» по адресу: Томский район, с. Итатка,</w:t>
            </w:r>
            <w:r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ул. Северная, 3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</w:tc>
        <w:tc>
          <w:tcPr>
            <w:tcW w:w="97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</w:p>
        </w:tc>
        <w:tc>
          <w:tcPr>
            <w:tcW w:w="1006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государст-венное казенное учрежде-ние «Обл-строй-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заказчик»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80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62269,2</w:t>
            </w:r>
          </w:p>
        </w:tc>
        <w:tc>
          <w:tcPr>
            <w:tcW w:w="1284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 инвестиции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2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4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57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</w:t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ФБ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4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37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37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811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спальных корпусов №1 на 100 койко-мест и №3 на 70 койко-мест с помещениями административно-бытового обслуживания ОГБУ «Итатский дом-интернат для престарелых и инвалидов» по адресу: Томский район, с. Итатка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, ул. Северная, 3</w:t>
            </w:r>
          </w:p>
        </w:tc>
        <w:tc>
          <w:tcPr>
            <w:tcW w:w="1242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</w:p>
        </w:tc>
        <w:tc>
          <w:tcPr>
            <w:tcW w:w="1006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государст-венное казенное учрежде-ние «Обл-строй-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заказчик»</w:t>
            </w:r>
          </w:p>
        </w:tc>
        <w:tc>
          <w:tcPr>
            <w:tcW w:w="8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10545,12</w:t>
            </w:r>
          </w:p>
        </w:tc>
        <w:tc>
          <w:tcPr>
            <w:tcW w:w="1284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 инвестиции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</w:t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приоб-рете-ние)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09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restart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Итого по п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ереходящим объектам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омской области и (или) муниципальную собственность, имеющие сметную стоимость</w:t>
            </w: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 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44412,26</w:t>
            </w: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44412,26</w:t>
            </w: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144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315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166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258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Всего</w:t>
            </w:r>
          </w:p>
        </w:tc>
        <w:tc>
          <w:tcPr>
            <w:tcW w:w="855" w:type="dxa"/>
            <w:vAlign w:val="center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44412,26</w:t>
            </w:r>
          </w:p>
        </w:tc>
        <w:tc>
          <w:tcPr>
            <w:tcW w:w="822" w:type="dxa"/>
            <w:vAlign w:val="center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44412,26</w:t>
            </w: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</w:tbl>
    <w:p>
      <w:pPr>
        <w:tabs>
          <w:tab w:val="left" w:pos="6237"/>
          <w:tab w:val="left" w:pos="6379"/>
          <w:tab w:val="left" w:pos="6521"/>
        </w:tabs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tbl>
      <w:tblPr>
        <w:tblpPr w:horzAnchor="text" w:tblpX="469" w:vertAnchor="text" w:tblpY="-2324" w:leftFromText="180" w:rightFromText="180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0650"/>
      </w:tblGrid>
      <w:tr>
        <w:tblPrEx>
          <w:tblW w:w="0" w:type="auto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c>
          <w:tcPr>
            <w:tcW w:w="10650" w:type="dxa"/>
            <w:tcBorders>
              <w:top w:val="none"/>
              <w:left w:val="none"/>
              <w:right w:val="none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6237"/>
                <w:tab w:val="left" w:pos="6379"/>
                <w:tab w:val="left" w:pos="6521"/>
              </w:tabs>
              <w:outlineLvl w:val="0"/>
              <w:rPr>
                <w:rFonts w:ascii="PT Astra Serif" w:hAnsi="PT Astra Serif"/>
                <w:sz w:val="24"/>
                <w:szCs w:val="24"/>
                <w:vertAlign w:val="superscript"/>
                <w:lang w:val="en-US"/>
              </w:rPr>
            </w:pPr>
          </w:p>
        </w:tc>
      </w:tr>
    </w:tbl>
    <w:p>
      <w:pPr>
        <w:tabs>
          <w:tab w:val="left" w:pos="6237"/>
          <w:tab w:val="left" w:pos="6379"/>
          <w:tab w:val="left" w:pos="6521"/>
        </w:tabs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1</w:t>
      </w:r>
      <w:r>
        <w:rPr>
          <w:rFonts w:ascii="PT Astra Serif" w:hAnsi="PT Astra Serif"/>
          <w:sz w:val="28"/>
          <w:szCs w:val="28"/>
        </w:rPr>
        <w:t xml:space="preserve">ПСД - проектно-сметная документация.</w:t>
      </w:r>
    </w:p>
    <w:p>
      <w:pPr>
        <w:tabs>
          <w:tab w:val="left" w:pos="426"/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ГРБС - главные распорядители средств </w:t>
      </w:r>
      <w:r>
        <w:rPr>
          <w:rFonts w:ascii="PT Astra Serif" w:hAnsi="PT Astra Serif"/>
          <w:sz w:val="28"/>
          <w:szCs w:val="28"/>
        </w:rPr>
        <w:t xml:space="preserve">областного бюджета.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ОБ - средства областного бюджета.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ФБ - планируемые к привлечению (привлеченные) средства федерального бюджета (по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МБ - средства местного бюджета исходя из установленного уровня софинансирования (по</w:t>
      </w:r>
      <w:r>
        <w:rPr>
          <w:rFonts w:ascii="PT Astra Serif" w:hAnsi="PT Astra Serif"/>
          <w:sz w:val="28"/>
          <w:szCs w:val="28"/>
        </w:rPr>
        <w:t xml:space="preserve">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ВБ - планируемые к привлечению (привлеченные) средства из внебюджетных источников (по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 w:right="-29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</w:p>
    <w:sectPr>
      <w:headerReference w:type="even" r:id="rId9"/>
      <w:headerReference w:type="default" r:id="rId10"/>
      <w:headerReference w:type="first" r:id="rId11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823013040"/>
      <w:docPartObj>
        <w:docPartGallery w:val="Page Numbers (Top of Page)"/>
        <w:docPartUnique w:val="true"/>
      </w:docPartObj>
    </w:sdtPr>
    <w:sdtContent>
      <w:p>
        <w:pPr>
          <w:pStyle w:val="Header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5</w:t>
        </w:r>
        <w:r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426107227"/>
      <w:docPartObj>
        <w:docPartGallery w:val="Page Numbers (Top of Page)"/>
        <w:docPartUnique w:val="true"/>
      </w:docPartObj>
    </w:sdtPr>
    <w:sdtContent>
      <w:p>
        <w:pPr>
          <w:pStyle w:val="Head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</w:p>
    </w:sdtContent>
  </w:sdt>
  <w:p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a" w:customStyle="1">
    <w:name w:val="Название объекта Знак"/>
    <w:link w:val="Caption"/>
    <w:uiPriority w:val="99"/>
  </w:style>
  <w:style w:type="table" w:styleId="11" w:customStyle="1">
    <w:name w:val="Таблица простая 1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auto"/>
      </w:tcPr>
    </w:tblStylePr>
    <w:tblStylePr w:type="band1Horz">
      <w:tcPr>
        <w:shd w:val="clear" w:color="f2f2f2" w:themeColor="text1" w:themeTint="0D" w:fill="auto"/>
      </w:tcPr>
    </w:tblStylePr>
  </w:style>
  <w:style w:type="table" w:styleId="21" w:customStyle="1">
    <w:name w:val="Таблица простая 21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 w:customStyle="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41" w:customStyle="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51" w:customStyle="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a8a8a" w:themeColor="text1" w:themeTint="75" w:fill="auto"/>
      </w:tcPr>
    </w:tblStylePr>
    <w:tblStylePr w:type="band1Horz">
      <w:tcPr>
        <w:shd w:val="clear" w:color="8a8a8a" w:themeColor="text1" w:themeTint="75" w:fill="auto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auto"/>
      </w:tcPr>
    </w:tblStylePr>
    <w:tblStylePr w:type="band1Horz">
      <w:tcPr>
        <w:shd w:val="clear" w:color="bfbfbf" w:themeColor="text1" w:themeTint="40" w:fill="auto"/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styleId="a0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1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2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3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4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styleId="a5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00" w:customStyle="1">
    <w:name w:val="Таблица-сетк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00" w:customStyle="1">
    <w:name w:val="Таблица-сетк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0" w:customStyle="1">
    <w:name w:val="Таблица-сетк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0" w:customStyle="1">
    <w:name w:val="Таблица-сетка 4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0" w:customStyle="1">
    <w:name w:val="Таблица-сетк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00" w:customStyle="1">
    <w:name w:val="Таблица-сетк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0" w:customStyle="1">
    <w:name w:val="Таблица-сетк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1" w:customStyle="1">
    <w:name w:val="Список-таблиц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1" w:customStyle="1">
    <w:name w:val="Список-таблиц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1" w:customStyle="1">
    <w:name w:val="Список-таблиц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1" w:customStyle="1">
    <w:name w:val="Список-таблица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1" w:customStyle="1">
    <w:name w:val="Список-таблиц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1" w:customStyle="1">
    <w:name w:val="Список-таблиц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1" w:customStyle="1">
    <w:name w:val="Список-таблиц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6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7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8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9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10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styleId="a11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Relationship Id="rId10" Type="http://schemas.openxmlformats.org/officeDocument/2006/relationships/header" Target="header5.xml" /><Relationship Id="rId11" Type="http://schemas.openxmlformats.org/officeDocument/2006/relationships/header" Target="header6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hyperlink" Target="http://(www.pravo.gov.ru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8DBA3061-61F5-4F2B-B621-D9964D9C80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haracters>5789</Characters>
  <CharactersWithSpaces>6791</CharactersWithSpaces>
  <Company/>
  <DocSecurity>0</DocSecurity>
  <HyperlinksChanged>false</HyperlinksChanged>
  <Lines>48</Lines>
  <LinksUpToDate>false</LinksUpToDate>
  <Pages>1</Pages>
  <Paragraphs>13</Paragraphs>
  <ScaleCrop>false</ScaleCrop>
  <SharedDoc>false</SharedDoc>
  <Template>Normal</Template>
  <TotalTime>8</TotalTime>
  <Words>1015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kea</cp:lastModifiedBy>
  <cp:revision>138</cp:revision>
  <cp:lastPrinted>2026-03-23T09:27:00Z</cp:lastPrinted>
  <dcterms:created xsi:type="dcterms:W3CDTF">2025-02-27T02:54:00Z</dcterms:created>
  <dcterms:modified xsi:type="dcterms:W3CDTF">2026-03-23T09:43:00Z</dcterms:modified>
</cp:coreProperties>
</file>