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both"/>
        <w:outlineLvl w:val="0"/>
      </w:pPr>
      <w:r>
        <w:rPr>
          <w:sz w:val="20"/>
        </w:rPr>
      </w:r>
      <w:r/>
    </w:p>
    <w:p>
      <w:pPr>
        <w:pStyle w:val="834"/>
        <w:jc w:val="center"/>
      </w:pPr>
      <w:r>
        <w:rPr>
          <w:sz w:val="20"/>
        </w:rPr>
        <w:t xml:space="preserve">АДМИНИСТРАЦИЯ ТОМСКОЙ ОБЛАСТИ</w:t>
      </w:r>
      <w:r/>
    </w:p>
    <w:p>
      <w:pPr>
        <w:pStyle w:val="834"/>
        <w:jc w:val="center"/>
      </w:pPr>
      <w:r>
        <w:rPr>
          <w:sz w:val="20"/>
        </w:rPr>
      </w:r>
      <w:r/>
    </w:p>
    <w:p>
      <w:pPr>
        <w:pStyle w:val="834"/>
        <w:jc w:val="center"/>
      </w:pPr>
      <w:r>
        <w:rPr>
          <w:sz w:val="20"/>
        </w:rPr>
        <w:t xml:space="preserve">ПОСТАНОВЛЕНИЕ</w:t>
      </w:r>
      <w:r/>
    </w:p>
    <w:p>
      <w:pPr>
        <w:pStyle w:val="834"/>
        <w:jc w:val="center"/>
      </w:pPr>
      <w:r>
        <w:rPr>
          <w:sz w:val="20"/>
        </w:rPr>
        <w:t xml:space="preserve">от 30 января 2026 г. N 27а</w:t>
      </w:r>
      <w:r/>
    </w:p>
    <w:p>
      <w:pPr>
        <w:pStyle w:val="834"/>
        <w:jc w:val="both"/>
      </w:pPr>
      <w:r>
        <w:rPr>
          <w:sz w:val="20"/>
        </w:rPr>
      </w:r>
      <w:r/>
    </w:p>
    <w:p>
      <w:pPr>
        <w:pStyle w:val="834"/>
        <w:jc w:val="center"/>
      </w:pPr>
      <w:r>
        <w:rPr>
          <w:sz w:val="20"/>
        </w:rPr>
        <w:t xml:space="preserve">О МЕРАХ СОЦИАЛЬНОЙ ПОДДЕРЖКИ ОТДЕЛЬНЫХ КАТЕГОРИЙ ГРАЖДАН,</w:t>
      </w:r>
      <w:r/>
    </w:p>
    <w:p>
      <w:pPr>
        <w:pStyle w:val="834"/>
        <w:jc w:val="center"/>
      </w:pPr>
      <w:r>
        <w:rPr>
          <w:sz w:val="20"/>
        </w:rPr>
        <w:t xml:space="preserve">УЧАСТВУЮЩИХ В СПЕЦИАЛЬНОЙ ВОЕННОЙ ОПЕРАЦИИ</w:t>
      </w:r>
      <w:r/>
    </w:p>
    <w:p>
      <w:pPr>
        <w:spacing w:after="1"/>
      </w:p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0"/>
        <w:gridCol w:w="113"/>
        <w:gridCol w:w="9921"/>
        <w:gridCol w:w="113"/>
      </w:tblGrid>
      <w:tr>
        <w:tblPrEx/>
        <w:trPr/>
        <w:tc>
          <w:tcPr>
            <w:shd w:val="clear" w:color="auto" w:fill="ced3f1"/>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113" w:type="dxa"/>
              <w:right w:w="0" w:type="dxa"/>
              <w:bottom w:w="113" w:type="dxa"/>
            </w:tcMar>
            <w:tcW w:w="0" w:type="auto"/>
            <w:textDirection w:val="lrTb"/>
            <w:noWrap w:val="false"/>
          </w:tcPr>
          <w:p>
            <w:pPr>
              <w:pStyle w:val="832"/>
              <w:jc w:val="center"/>
            </w:pPr>
            <w:r>
              <w:rPr>
                <w:color w:val="392c69"/>
                <w:sz w:val="20"/>
              </w:rPr>
              <w:t xml:space="preserve">Список изменяющих документов</w:t>
            </w:r>
            <w:r/>
          </w:p>
          <w:p>
            <w:pPr>
              <w:pStyle w:val="832"/>
              <w:jc w:val="center"/>
            </w:pPr>
            <w:r>
              <w:rPr>
                <w:color w:val="392c69"/>
                <w:sz w:val="20"/>
              </w:rPr>
              <w:t xml:space="preserve">(в ред. </w:t>
            </w:r>
            <w:hyperlink r:id="rId8" w:tooltip="Постановление Администрации Томской области от 25.03.2026 N 105а &quot;О внесении изменений в отдельные постановления Администрации Томской области&quot; {КонсультантПлюс}" w:history="1">
              <w:r>
                <w:rPr>
                  <w:color w:val="0000ff"/>
                  <w:sz w:val="20"/>
                </w:rPr>
                <w:t xml:space="preserve">постановления</w:t>
              </w:r>
            </w:hyperlink>
            <w:r>
              <w:rPr>
                <w:color w:val="392c69"/>
                <w:sz w:val="20"/>
              </w:rPr>
              <w:t xml:space="preserve"> Администрации Томской области от 25.03.2026 N 105а)</w:t>
            </w:r>
            <w:r/>
          </w:p>
        </w:tc>
        <w:tc>
          <w:tcPr>
            <w:shd w:val="clear" w:color="auto" w:fill="f4f3f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textDirection w:val="lrTb"/>
            <w:noWrap w:val="false"/>
          </w:tcPr>
          <w:p>
            <w:r/>
            <w:r/>
          </w:p>
        </w:tc>
      </w:tr>
    </w:tbl>
    <w:p>
      <w:pPr>
        <w:pStyle w:val="832"/>
        <w:jc w:val="both"/>
      </w:pPr>
      <w:r>
        <w:rPr>
          <w:sz w:val="20"/>
        </w:rPr>
      </w:r>
      <w:r/>
    </w:p>
    <w:p>
      <w:pPr>
        <w:pStyle w:val="832"/>
        <w:ind w:firstLine="540"/>
        <w:jc w:val="both"/>
      </w:pPr>
      <w:r>
        <w:rPr>
          <w:sz w:val="20"/>
        </w:rPr>
        <w:t xml:space="preserve">В целях оказания социальной поддержки отдельным категориям граждан, участвующих в специальной военной операции на территориях Украины, Донецкой Народной Республики, Луганской Народной Республики, Херсонской и Запорожской областей постановляю:</w:t>
      </w:r>
      <w:r/>
    </w:p>
    <w:p>
      <w:pPr>
        <w:pStyle w:val="832"/>
        <w:ind w:firstLine="540"/>
        <w:jc w:val="both"/>
        <w:spacing w:before="200"/>
      </w:pPr>
      <w:r/>
      <w:bookmarkStart w:id="12" w:name="P12"/>
      <w:r/>
      <w:bookmarkEnd w:id="12"/>
      <w:r>
        <w:rPr>
          <w:sz w:val="20"/>
        </w:rPr>
        <w:t xml:space="preserve">1. Установить денежную выплату гражданам Российской Федерации, иностранным гражданам (далее - граждане):</w:t>
      </w:r>
      <w:r/>
    </w:p>
    <w:p>
      <w:pPr>
        <w:pStyle w:val="832"/>
        <w:ind w:firstLine="540"/>
        <w:jc w:val="both"/>
        <w:spacing w:before="200"/>
      </w:pPr>
      <w:r/>
      <w:bookmarkStart w:id="13" w:name="P13"/>
      <w:r/>
      <w:bookmarkEnd w:id="13"/>
      <w:r>
        <w:rPr>
          <w:sz w:val="20"/>
        </w:rPr>
        <w:t xml:space="preserve">1) закл</w:t>
      </w:r>
      <w:r>
        <w:rPr>
          <w:sz w:val="20"/>
        </w:rPr>
        <w:t xml:space="preserve">ючившим с 01.01.2023 по 31.08.2023 контракт 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w:t>
      </w:r>
      <w:r>
        <w:rPr>
          <w:sz w:val="20"/>
        </w:rPr>
        <w:t xml:space="preserve">тей (далее - контракт), за исключением лиц, добровольно заключивших контракт для прохождения военной службы в именном батальоне материального обеспечения "Тоян", контракт для прохождения военной службы в штурмовом отряде "Васюган", в размере 100000 рублей;</w:t>
      </w:r>
      <w:r/>
    </w:p>
    <w:p>
      <w:pPr>
        <w:pStyle w:val="832"/>
        <w:ind w:firstLine="540"/>
        <w:jc w:val="both"/>
        <w:spacing w:before="200"/>
      </w:pPr>
      <w:r>
        <w:rPr>
          <w:sz w:val="20"/>
        </w:rPr>
        <w:t xml:space="preserve">2) заключившим с 01.09.2023 </w:t>
      </w:r>
      <w:r>
        <w:rPr>
          <w:sz w:val="20"/>
        </w:rPr>
        <w:t xml:space="preserve">по 31.07.2024 контракт, за исключением лиц, добровольно заключивших контракт для прохождения военной службы в именном батальоне материального обеспечения "Тоян", контракт для прохождения военной службы в штурмовом отряде "Васюган", в размере 300000 рублей;</w:t>
      </w:r>
      <w:r/>
    </w:p>
    <w:p>
      <w:pPr>
        <w:pStyle w:val="832"/>
        <w:ind w:firstLine="540"/>
        <w:jc w:val="both"/>
        <w:spacing w:before="200"/>
      </w:pPr>
      <w:r>
        <w:rPr>
          <w:sz w:val="20"/>
        </w:rPr>
        <w:t xml:space="preserve">3) заключившим с 01.08.2024 </w:t>
      </w:r>
      <w:r>
        <w:rPr>
          <w:sz w:val="20"/>
        </w:rPr>
        <w:t xml:space="preserve">по 31.12.2024 контракт, за исключением лиц, добровольно заключивших контракт для прохождения военной службы в именном батальоне материального обеспечения "Тоян", контракт для прохождения военной службы в штурмовом отряде "Васюган", в размере 400000 рублей;</w:t>
      </w:r>
      <w:r/>
    </w:p>
    <w:p>
      <w:pPr>
        <w:pStyle w:val="832"/>
        <w:ind w:firstLine="540"/>
        <w:jc w:val="both"/>
        <w:spacing w:before="200"/>
      </w:pPr>
      <w:r>
        <w:rPr>
          <w:sz w:val="20"/>
        </w:rPr>
        <w:t xml:space="preserve">4) заключив</w:t>
      </w:r>
      <w:r>
        <w:rPr>
          <w:sz w:val="20"/>
        </w:rPr>
        <w:t xml:space="preserve">шим с 01.01.2025 контракт, за исключением лиц, добровольно заключивших контракт для прохождения военной службы в именном батальоне материального обеспечения "Тоян", контракт для прохождения военной службы в штурмовом отряде "Васюган", граждан, указанных в </w:t>
      </w:r>
      <w:hyperlink w:tooltip="7) призванным на военную службу по мобилизации в Вооруженные Силы Российской Федерации в соответствии с Указом Президента Российской Федерации от 21.09.2022 N 647 &quot;Об объявлении частичной мобилизации в Российской Федерации&quot; и заключившим с 01.01.2026 контракт в размере 400000 рублей." w:anchor="P19" w:history="1">
        <w:r>
          <w:rPr>
            <w:color w:val="0000ff"/>
            <w:sz w:val="20"/>
          </w:rPr>
          <w:t xml:space="preserve">подпункте 7)</w:t>
        </w:r>
      </w:hyperlink>
      <w:r>
        <w:rPr>
          <w:sz w:val="20"/>
        </w:rPr>
        <w:t xml:space="preserve"> настоящего пункта, в размере 1000000 рублей;</w:t>
      </w:r>
      <w:r/>
    </w:p>
    <w:p>
      <w:pPr>
        <w:pStyle w:val="832"/>
        <w:ind w:firstLine="540"/>
        <w:jc w:val="both"/>
        <w:spacing w:before="200"/>
      </w:pPr>
      <w:r>
        <w:rPr>
          <w:sz w:val="20"/>
        </w:rPr>
        <w:t xml:space="preserve">5) не реализовавшим право на получение единовременной выплаты в 2022 году в соответствии с </w:t>
      </w:r>
      <w:hyperlink r:id="rId9" w:tooltip="Постановление Администрации Томской области от 03.11.2022 N 489а &quot;О единовременной выплате гражданам Российской Федерации, проживающим на территории Томской области, заключившим контракт о добровольном содействии в выполнении задач, возложенных на Вооруженные Силы Российской Федерации&quot; {КонсультантПлюс}" w:history="1">
        <w:r>
          <w:rPr>
            <w:color w:val="0000ff"/>
            <w:sz w:val="20"/>
          </w:rPr>
          <w:t xml:space="preserve">постановлением</w:t>
        </w:r>
      </w:hyperlink>
      <w:r>
        <w:rPr>
          <w:sz w:val="20"/>
        </w:rPr>
        <w:t xml:space="preserve"> Администрации Томской области от 03.11.20</w:t>
      </w:r>
      <w:r>
        <w:rPr>
          <w:sz w:val="20"/>
        </w:rPr>
        <w:t xml:space="preserve">22 N 489а "О единовременной выплате гражданам Российской Федерации, проживающим на территории Томской области, заключившим контракт о добровольном содействии в выполнении задач, возложенных на Вооруженные Силы Российской Федерации" в размере 100000 рублей;</w:t>
      </w:r>
      <w:r/>
    </w:p>
    <w:p>
      <w:pPr>
        <w:pStyle w:val="832"/>
        <w:ind w:firstLine="540"/>
        <w:jc w:val="both"/>
        <w:spacing w:before="200"/>
      </w:pPr>
      <w:r/>
      <w:bookmarkStart w:id="18" w:name="P18"/>
      <w:r/>
      <w:bookmarkEnd w:id="18"/>
      <w:r>
        <w:rPr>
          <w:sz w:val="20"/>
        </w:rPr>
        <w:t xml:space="preserve">6) заключившим с 01.01.2025 контракт о прохождении военной службы в войсках национальной гвардии Российской Федерации сроком на о</w:t>
      </w:r>
      <w:r>
        <w:rPr>
          <w:sz w:val="20"/>
        </w:rPr>
        <w:t xml:space="preserve">дин год и более для выполнения задач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сроком на один год и более) в размере 1000000 рублей;</w:t>
      </w:r>
      <w:r/>
    </w:p>
    <w:p>
      <w:pPr>
        <w:pStyle w:val="832"/>
        <w:ind w:firstLine="540"/>
        <w:jc w:val="both"/>
        <w:spacing w:before="200"/>
      </w:pPr>
      <w:r/>
      <w:bookmarkStart w:id="19" w:name="P19"/>
      <w:r/>
      <w:bookmarkEnd w:id="19"/>
      <w:r>
        <w:rPr>
          <w:sz w:val="20"/>
        </w:rPr>
        <w:t xml:space="preserve">7) призванным на военную службу по мобилизации в Вооруженные Силы Российской Федерации в соответствии с </w:t>
      </w:r>
      <w:hyperlink r:id="rId10" w:tooltip="Указ Президента РФ от 21.09.2022 N 647 &quot;Об объявлении частичной мобилизации в Российской Федерации&quot; {КонсультантПлюс}" w:history="1">
        <w:r>
          <w:rPr>
            <w:color w:val="0000ff"/>
            <w:sz w:val="20"/>
          </w:rPr>
          <w:t xml:space="preserve">Указом</w:t>
        </w:r>
      </w:hyperlink>
      <w:r>
        <w:rPr>
          <w:sz w:val="20"/>
        </w:rPr>
        <w:t xml:space="preserve"> Президента Российской Федерации от 21.09.2022 N 647 "Об объявлении частичной мобилизации в Российской Федерации" и заключившим с 01.01.2026 контракт в размере 400000 рублей.</w:t>
      </w:r>
      <w:r/>
    </w:p>
    <w:p>
      <w:pPr>
        <w:pStyle w:val="832"/>
        <w:ind w:firstLine="540"/>
        <w:jc w:val="both"/>
        <w:spacing w:before="200"/>
      </w:pPr>
      <w:r>
        <w:rPr>
          <w:sz w:val="20"/>
        </w:rPr>
        <w:t xml:space="preserve">1-1. При наличии у граждан права на получение мер социальной поддержки по двум и более основаниям, предусмотренным </w:t>
      </w:r>
      <w:hyperlink w:tooltip="1. Установить денежную выплату гражданам Российской Федерации, иностранным гражданам (далее - граждане):" w:anchor="P12" w:history="1">
        <w:r>
          <w:rPr>
            <w:color w:val="0000ff"/>
            <w:sz w:val="20"/>
          </w:rPr>
          <w:t xml:space="preserve">пунктом 1</w:t>
        </w:r>
      </w:hyperlink>
      <w:r>
        <w:rPr>
          <w:sz w:val="20"/>
        </w:rPr>
        <w:t xml:space="preserve"> настоящего постановления, меры социальной поддержки предоставляются по одному из оснований.</w:t>
      </w:r>
      <w:r/>
    </w:p>
    <w:p>
      <w:pPr>
        <w:pStyle w:val="832"/>
        <w:ind w:firstLine="540"/>
        <w:jc w:val="both"/>
        <w:spacing w:before="200"/>
      </w:pPr>
      <w:r>
        <w:rPr>
          <w:sz w:val="20"/>
        </w:rPr>
        <w:t xml:space="preserve">Денежная выплата, указанная в </w:t>
      </w:r>
      <w:hyperlink w:tooltip="1) заключившим с 01.01.2023 по 31.08.2023 контракт 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за исключением лиц, добровольно заключивших контракт для прохождения военной службы в именном батальоне материального обеспечения &quot;Тоян&quot;, контракт для прохождения военной службы в штурмовом отряде &quot;Васюган&quot;, в размере 1000..." w:anchor="P13" w:history="1">
        <w:r>
          <w:rPr>
            <w:color w:val="0000ff"/>
            <w:sz w:val="20"/>
          </w:rPr>
          <w:t xml:space="preserve">подпунктах 1)</w:t>
        </w:r>
      </w:hyperlink>
      <w:r>
        <w:rPr>
          <w:sz w:val="20"/>
        </w:rPr>
        <w:t xml:space="preserve"> - </w:t>
      </w:r>
      <w:hyperlink w:tooltip="7) призванным на военную службу по мобилизации в Вооруженные Силы Российской Федерации в соответствии с Указом Президента Российской Федерации от 21.09.2022 N 647 &quot;Об объявлении частичной мобилизации в Российской Федерации&quot; и заключившим с 01.01.2026 контракт в размере 400000 рублей." w:anchor="P19" w:history="1">
        <w:r>
          <w:rPr>
            <w:color w:val="0000ff"/>
            <w:sz w:val="20"/>
          </w:rPr>
          <w:t xml:space="preserve">7) пункта 1</w:t>
        </w:r>
      </w:hyperlink>
      <w:r>
        <w:rPr>
          <w:sz w:val="20"/>
        </w:rPr>
        <w:t xml:space="preserve"> настоящего постановления, назначается и предоставляется гражданам, не реализовавшим право на получение денежной выплаты в соответствии с </w:t>
      </w:r>
      <w:hyperlink r:id="rId11"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постановлением</w:t>
        </w:r>
      </w:hyperlink>
      <w:r>
        <w:rPr>
          <w:sz w:val="20"/>
        </w:rPr>
        <w:t xml:space="preserve"> Администрации Томской области от 17.01.2023 N 15а "О мерах социальной поддержки отдельных категорий граждан, участвующих в специальной военной операции" (далее - постановление N 15а).</w:t>
      </w:r>
      <w:r/>
    </w:p>
    <w:p>
      <w:pPr>
        <w:pStyle w:val="832"/>
        <w:jc w:val="both"/>
      </w:pPr>
      <w:r>
        <w:rPr>
          <w:sz w:val="20"/>
        </w:rPr>
        <w:t xml:space="preserve">(п. 1-1 введен </w:t>
      </w:r>
      <w:hyperlink r:id="rId12" w:tooltip="Постановление Администрации Томской области от 25.03.2026 N 105а &quot;О внесении изменений в отдельные постановления Администрации Томской области&quot; {КонсультантПлюс}" w:history="1">
        <w:r>
          <w:rPr>
            <w:color w:val="0000ff"/>
            <w:sz w:val="20"/>
          </w:rPr>
          <w:t xml:space="preserve">постановлением</w:t>
        </w:r>
      </w:hyperlink>
      <w:r>
        <w:rPr>
          <w:sz w:val="20"/>
        </w:rPr>
        <w:t xml:space="preserve"> Администрации Томской области от 25.03.2026 N 105а)</w:t>
      </w:r>
      <w:r/>
    </w:p>
    <w:p>
      <w:pPr>
        <w:pStyle w:val="832"/>
        <w:ind w:firstLine="540"/>
        <w:jc w:val="both"/>
        <w:spacing w:before="200"/>
      </w:pPr>
      <w:r/>
      <w:bookmarkStart w:id="23" w:name="P23"/>
      <w:r/>
      <w:bookmarkEnd w:id="23"/>
      <w:r>
        <w:rPr>
          <w:sz w:val="20"/>
        </w:rPr>
        <w:t xml:space="preserve">2. Денежная выплата гражданам, проживающим на территории Томской области, указанным в </w:t>
      </w:r>
      <w:hyperlink w:tooltip="1) заключившим с 01.01.2023 по 31.08.2023 контракт 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за исключением лиц, добровольно заключивших контракт для прохождения военной службы в именном батальоне материального обеспечения &quot;Тоян&quot;, контракт для прохождения военной службы в штурмовом отряде &quot;Васюган&quot;, в размере 1000..." w:anchor="P13" w:history="1">
        <w:r>
          <w:rPr>
            <w:color w:val="0000ff"/>
            <w:sz w:val="20"/>
          </w:rPr>
          <w:t xml:space="preserve">подпунктах 1)</w:t>
        </w:r>
      </w:hyperlink>
      <w:r>
        <w:rPr>
          <w:sz w:val="20"/>
        </w:rPr>
        <w:t xml:space="preserve"> - </w:t>
      </w:r>
      <w:hyperlink w:tooltip="6) заключившим с 01.01.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сроком на один год и более) в размере 1000000 рублей;" w:anchor="P18" w:history="1">
        <w:r>
          <w:rPr>
            <w:color w:val="0000ff"/>
            <w:sz w:val="20"/>
          </w:rPr>
          <w:t xml:space="preserve">6) пункта 1</w:t>
        </w:r>
      </w:hyperlink>
      <w:r>
        <w:rPr>
          <w:sz w:val="20"/>
        </w:rPr>
        <w:t xml:space="preserve"> настоящего постановления, назначается и предоставляется Департаментом социальной защиты населения Томской области (далее - Департамент) через областные государств</w:t>
      </w:r>
      <w:r>
        <w:rPr>
          <w:sz w:val="20"/>
        </w:rPr>
        <w:t xml:space="preserve">енные казенные учреждения (центры социальной поддержки населения муниципальных образований Томской области) (далее - подведомственные учреждения) на основании заявления гражданина по форме, утвержденной Департаментом, и документов, подтверждающих факт закл</w:t>
      </w:r>
      <w:r>
        <w:rPr>
          <w:sz w:val="20"/>
        </w:rPr>
        <w:t xml:space="preserve">ючения контракта, контракта сроком на один год и более или списков, предоставленных пунктом отбора на военную службу по контракту (3 разряда), г. Томск, либо Управлением по Томской области Федеральной службы войск национальной гвардии Российской Федерации.</w:t>
      </w:r>
      <w:r/>
    </w:p>
    <w:p>
      <w:pPr>
        <w:pStyle w:val="832"/>
        <w:ind w:firstLine="540"/>
        <w:jc w:val="both"/>
        <w:spacing w:before="200"/>
      </w:pPr>
      <w:r>
        <w:rPr>
          <w:sz w:val="20"/>
        </w:rPr>
        <w:t xml:space="preserve">Денежная выплата гражданам, не проживающим на территории Томской области, указанным в </w:t>
      </w:r>
      <w:hyperlink w:tooltip="1) заключившим с 01.01.2023 по 31.08.2023 контракт 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за исключением лиц, добровольно заключивших контракт для прохождения военной службы в именном батальоне материального обеспечения &quot;Тоян&quot;, контракт для прохождения военной службы в штурмовом отряде &quot;Васюган&quot;, в размере 1000..." w:anchor="P13" w:history="1">
        <w:r>
          <w:rPr>
            <w:color w:val="0000ff"/>
            <w:sz w:val="20"/>
          </w:rPr>
          <w:t xml:space="preserve">подпунктах 1)</w:t>
        </w:r>
      </w:hyperlink>
      <w:r>
        <w:rPr>
          <w:sz w:val="20"/>
        </w:rPr>
        <w:t xml:space="preserve"> - </w:t>
      </w:r>
      <w:hyperlink w:tooltip="6) заключившим с 01.01.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сроком на один год и более) в размере 1000000 рублей;" w:anchor="P18" w:history="1">
        <w:r>
          <w:rPr>
            <w:color w:val="0000ff"/>
            <w:sz w:val="20"/>
          </w:rPr>
          <w:t xml:space="preserve">6) пункта 1</w:t>
        </w:r>
      </w:hyperlink>
      <w:r>
        <w:rPr>
          <w:sz w:val="20"/>
        </w:rPr>
        <w:t xml:space="preserve"> настоящего постановления, а также гражданам, проживающим на территории Томской области, указанным в </w:t>
      </w:r>
      <w:hyperlink w:tooltip="7) призванным на военную службу по мобилизации в Вооруженные Силы Российской Федерации в соответствии с Указом Президента Российской Федерации от 21.09.2022 N 647 &quot;Об объявлении частичной мобилизации в Российской Федерации&quot; и заключившим с 01.01.2026 контракт в размере 400000 рублей." w:anchor="P19" w:history="1">
        <w:r>
          <w:rPr>
            <w:color w:val="0000ff"/>
            <w:sz w:val="20"/>
          </w:rPr>
          <w:t xml:space="preserve">подпункте 7) пункта 1</w:t>
        </w:r>
      </w:hyperlink>
      <w:r>
        <w:rPr>
          <w:sz w:val="20"/>
        </w:rPr>
        <w:t xml:space="preserve"> настоящего постановления, назначается и предоставляется Де</w:t>
      </w:r>
      <w:r>
        <w:rPr>
          <w:sz w:val="20"/>
        </w:rPr>
        <w:t xml:space="preserve">партаментом через подведомственные учреждения на основании списков, предоставленных пунктом отбора на военную службу по контракту (3 разряда), г. Томск, либо Управлением по Томской области Федеральной службы войск национальной гвардии Российской Федерации.</w:t>
      </w:r>
      <w:r/>
    </w:p>
    <w:p>
      <w:pPr>
        <w:pStyle w:val="832"/>
        <w:ind w:firstLine="540"/>
        <w:jc w:val="both"/>
        <w:spacing w:before="200"/>
      </w:pPr>
      <w:r>
        <w:rPr>
          <w:sz w:val="20"/>
        </w:rPr>
        <w:t xml:space="preserve">3. Денежная выплата гражданам, указанным в </w:t>
      </w:r>
      <w:hyperlink w:tooltip="1. Установить денежную выплату гражданам Российской Федерации, иностранным гражданам (далее - граждане):" w:anchor="P12" w:history="1">
        <w:r>
          <w:rPr>
            <w:color w:val="0000ff"/>
            <w:sz w:val="20"/>
          </w:rPr>
          <w:t xml:space="preserve">пункте 1</w:t>
        </w:r>
      </w:hyperlink>
      <w:r>
        <w:rPr>
          <w:sz w:val="20"/>
        </w:rPr>
        <w:t xml:space="preserve"> настоящего постан</w:t>
      </w:r>
      <w:r>
        <w:rPr>
          <w:sz w:val="20"/>
        </w:rPr>
        <w:t xml:space="preserve">овления, за исключением граждан, заключивших контракт в других субъектах Российской Федерации, назначается и предоставляется Департаментом через подведомственные учреждения единовременно в течение 10 рабочих дней со дня поступления документов, указанных в </w:t>
      </w:r>
      <w:hyperlink w:tooltip="2. Денежная выплата гражданам, проживающим на территории Томской области, указанным в подпунктах 1) - 6) пункта 1 настоящего постановления, назначается и предоставляется Департаментом социальной защиты населения Томской области (далее - Департамент) через областные государственные казенные учреждения (центры социальной поддержки населения муниципальных образований Томской области) (далее - подведомственные учреждения) на основании заявления гражданина по форме, утвержденной Департаментом, и документов, п..." w:anchor="P23" w:history="1">
        <w:r>
          <w:rPr>
            <w:color w:val="0000ff"/>
            <w:sz w:val="20"/>
          </w:rPr>
          <w:t xml:space="preserve">пункте 2</w:t>
        </w:r>
      </w:hyperlink>
      <w:r>
        <w:rPr>
          <w:sz w:val="20"/>
        </w:rPr>
        <w:t xml:space="preserve"> настоящего постановления, в подведомственные учреждения.</w:t>
      </w:r>
      <w:r/>
    </w:p>
    <w:p>
      <w:pPr>
        <w:pStyle w:val="832"/>
        <w:jc w:val="both"/>
      </w:pPr>
      <w:r>
        <w:rPr>
          <w:sz w:val="20"/>
        </w:rPr>
        <w:t xml:space="preserve">(в ред. </w:t>
      </w:r>
      <w:hyperlink r:id="rId13" w:tooltip="Постановление Администрации Томской области от 25.03.2026 N 105а &quot;О внесении изменений в отдельные постановления Администрации Томской области&quot; {КонсультантПлюс}" w:history="1">
        <w:r>
          <w:rPr>
            <w:color w:val="0000ff"/>
            <w:sz w:val="20"/>
          </w:rPr>
          <w:t xml:space="preserve">постановления</w:t>
        </w:r>
      </w:hyperlink>
      <w:r>
        <w:rPr>
          <w:sz w:val="20"/>
        </w:rPr>
        <w:t xml:space="preserve"> Администрации Томской области от 25.03.2026 N 105а)</w:t>
      </w:r>
      <w:r/>
    </w:p>
    <w:p>
      <w:pPr>
        <w:pStyle w:val="832"/>
        <w:ind w:firstLine="540"/>
        <w:jc w:val="both"/>
        <w:spacing w:before="200"/>
      </w:pPr>
      <w:r>
        <w:rPr>
          <w:sz w:val="20"/>
        </w:rPr>
        <w:t xml:space="preserve">В случае подачи заявления и документов, подтверждающих факт заключения контракта, гражданином, заключившим контракт в других субъектах </w:t>
      </w:r>
      <w:r>
        <w:rPr>
          <w:sz w:val="20"/>
        </w:rPr>
        <w:t xml:space="preserve">Российской Федерации, денежная выплата назначается и предоставляется в течение 10 рабочих дней со дня поступления в подведомственное учреждение сведений о неполучении денежной выплаты в связи с заключением контракта в других субъектах Российской Федерации.</w:t>
      </w:r>
      <w:r/>
    </w:p>
    <w:p>
      <w:pPr>
        <w:pStyle w:val="832"/>
        <w:jc w:val="both"/>
      </w:pPr>
      <w:r>
        <w:rPr>
          <w:sz w:val="20"/>
        </w:rPr>
        <w:t xml:space="preserve">(в ред. </w:t>
      </w:r>
      <w:hyperlink r:id="rId14" w:tooltip="Постановление Администрации Томской области от 25.03.2026 N 105а &quot;О внесении изменений в отдельные постановления Администрации Томской области&quot; {КонсультантПлюс}" w:history="1">
        <w:r>
          <w:rPr>
            <w:color w:val="0000ff"/>
            <w:sz w:val="20"/>
          </w:rPr>
          <w:t xml:space="preserve">постановления</w:t>
        </w:r>
      </w:hyperlink>
      <w:r>
        <w:rPr>
          <w:sz w:val="20"/>
        </w:rPr>
        <w:t xml:space="preserve"> Администрации Томской области от 25.03.2026 N 105а)</w:t>
      </w:r>
      <w:r/>
    </w:p>
    <w:p>
      <w:pPr>
        <w:pStyle w:val="832"/>
        <w:ind w:firstLine="540"/>
        <w:jc w:val="both"/>
        <w:spacing w:before="200"/>
      </w:pPr>
      <w:r>
        <w:rPr>
          <w:sz w:val="20"/>
        </w:rPr>
        <w:t xml:space="preserve">Подведомственное учреждение в срок, не превышающий 3 рабочих дней со дня назначения денежной выплаты гражданам, не проживающим на территории Томской области, указанным в </w:t>
      </w:r>
      <w:hyperlink w:tooltip="1) заключившим с 01.01.2023 по 31.08.2023 контракт с Вооруженными Силами Российской Федерации о добровольном участии в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за исключением лиц, добровольно заключивших контракт для прохождения военной службы в именном батальоне материального обеспечения &quot;Тоян&quot;, контракт для прохождения военной службы в штурмовом отряде &quot;Васюган&quot;, в размере 1000..." w:anchor="P13" w:history="1">
        <w:r>
          <w:rPr>
            <w:color w:val="0000ff"/>
            <w:sz w:val="20"/>
          </w:rPr>
          <w:t xml:space="preserve">подпунктах 1)</w:t>
        </w:r>
      </w:hyperlink>
      <w:r>
        <w:rPr>
          <w:sz w:val="20"/>
        </w:rPr>
        <w:t xml:space="preserve"> - </w:t>
      </w:r>
      <w:hyperlink w:tooltip="6) заключившим с 01.01.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 Донецкой Народной Республики, Луганской Народной Республики, Херсонской и Запорожской областей (далее - контракт сроком на один год и более) в размере 1000000 рублей;" w:anchor="P18" w:history="1">
        <w:r>
          <w:rPr>
            <w:color w:val="0000ff"/>
            <w:sz w:val="20"/>
          </w:rPr>
          <w:t xml:space="preserve">6) пункта 1</w:t>
        </w:r>
      </w:hyperlink>
      <w:r>
        <w:rPr>
          <w:sz w:val="20"/>
        </w:rPr>
        <w:t xml:space="preserve"> настоящего постановления, направляет уведомление о назначении денежной выплаты в уполномоченный орган по месту жительства указанных граждан.</w:t>
      </w:r>
      <w:r/>
    </w:p>
    <w:p>
      <w:pPr>
        <w:pStyle w:val="832"/>
        <w:ind w:firstLine="540"/>
        <w:jc w:val="both"/>
        <w:spacing w:before="200"/>
      </w:pPr>
      <w:r>
        <w:rPr>
          <w:sz w:val="20"/>
        </w:rPr>
        <w:t xml:space="preserve">3-1. Часть назначенной в соответствии с </w:t>
      </w:r>
      <w:hyperlink r:id="rId15"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постановлением</w:t>
        </w:r>
      </w:hyperlink>
      <w:r>
        <w:rPr>
          <w:sz w:val="20"/>
        </w:rPr>
        <w:t xml:space="preserve"> N 15а и не предоставленной в полном объеме в соответствии с </w:t>
      </w:r>
      <w:hyperlink r:id="rId16"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пунктом 2-2</w:t>
        </w:r>
      </w:hyperlink>
      <w:r>
        <w:rPr>
          <w:sz w:val="20"/>
        </w:rPr>
        <w:t xml:space="preserve"> постановления N 15а (далее - недополученная часть) денежной выплаты гражданам Российской Федерации, иностранным гражданам, установленной </w:t>
      </w:r>
      <w:hyperlink r:id="rId17"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подпунктами 1-2)</w:t>
        </w:r>
      </w:hyperlink>
      <w:r>
        <w:rPr>
          <w:sz w:val="20"/>
        </w:rPr>
        <w:t xml:space="preserve"> и </w:t>
      </w:r>
      <w:hyperlink r:id="rId18"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3) пункта 1</w:t>
        </w:r>
      </w:hyperlink>
      <w:r>
        <w:rPr>
          <w:sz w:val="20"/>
        </w:rPr>
        <w:t xml:space="preserve"> постановления N 15а, в 2026 году предоставляется в следующем порядке:</w:t>
      </w:r>
      <w:r/>
    </w:p>
    <w:p>
      <w:pPr>
        <w:pStyle w:val="832"/>
        <w:ind w:firstLine="540"/>
        <w:jc w:val="both"/>
        <w:spacing w:before="200"/>
      </w:pPr>
      <w:r>
        <w:rPr>
          <w:sz w:val="20"/>
        </w:rPr>
        <w:t xml:space="preserve">1) предостав</w:t>
      </w:r>
      <w:r>
        <w:rPr>
          <w:sz w:val="20"/>
        </w:rPr>
        <w:t xml:space="preserve">ление недополученной части в размере 400000 рублей осуществляется равными долями по 100000 рублей один раз в три месяца. Первая доля в размере 100000 рублей предоставляется через три месяца после предоставления выплаты в размере 600000 рублей, указанной в </w:t>
      </w:r>
      <w:hyperlink r:id="rId19" w:tooltip="Постановление Администрации Томской области от 17.01.2023 N 15а (ред. от 31.07.2025) &quot;О мерах социальной поддержки отдельных категорий граждан, участвующих в специальной военной операции&quot; ------------ Утратил силу или отменен {КонсультантПлюс}" w:history="1">
        <w:r>
          <w:rPr>
            <w:color w:val="0000ff"/>
            <w:sz w:val="20"/>
          </w:rPr>
          <w:t xml:space="preserve">подпункте 1) пункта 2-2</w:t>
        </w:r>
      </w:hyperlink>
      <w:r>
        <w:rPr>
          <w:sz w:val="20"/>
        </w:rPr>
        <w:t xml:space="preserve"> постановления N 15а. Последующие доли в размере 100000 рублей каждая предоставляются через три месяца после выплаты предыдущей доли;</w:t>
      </w:r>
      <w:r/>
    </w:p>
    <w:p>
      <w:pPr>
        <w:pStyle w:val="832"/>
        <w:ind w:firstLine="540"/>
        <w:jc w:val="both"/>
        <w:spacing w:before="200"/>
      </w:pPr>
      <w:r>
        <w:rPr>
          <w:sz w:val="20"/>
        </w:rPr>
        <w:t xml:space="preserve">2) предоставление недополученной части в размере 300000 рублей и менее осуществляется равными долями по 100000 рублей один раз в три месяца после выплаты предыдущей доли.</w:t>
      </w:r>
      <w:r/>
    </w:p>
    <w:p>
      <w:pPr>
        <w:pStyle w:val="832"/>
        <w:jc w:val="both"/>
      </w:pPr>
      <w:r>
        <w:rPr>
          <w:sz w:val="20"/>
        </w:rPr>
        <w:t xml:space="preserve">(п. 3-1 введен </w:t>
      </w:r>
      <w:hyperlink r:id="rId20" w:tooltip="Постановление Администрации Томской области от 25.03.2026 N 105а &quot;О внесении изменений в отдельные постановления Администрации Томской области&quot; {КонсультантПлюс}" w:history="1">
        <w:r>
          <w:rPr>
            <w:color w:val="0000ff"/>
            <w:sz w:val="20"/>
          </w:rPr>
          <w:t xml:space="preserve">постановлением</w:t>
        </w:r>
      </w:hyperlink>
      <w:r>
        <w:rPr>
          <w:sz w:val="20"/>
        </w:rPr>
        <w:t xml:space="preserve"> Администрации Томской области от 25.03.2026 N 105а)</w:t>
      </w:r>
      <w:r/>
    </w:p>
    <w:p>
      <w:pPr>
        <w:pStyle w:val="832"/>
        <w:ind w:firstLine="540"/>
        <w:jc w:val="both"/>
        <w:spacing w:before="200"/>
      </w:pPr>
      <w:r>
        <w:rPr>
          <w:sz w:val="20"/>
        </w:rPr>
        <w:t xml:space="preserve">4. Финансовое обеспечение денежной выплаты, установленной в </w:t>
      </w:r>
      <w:hyperlink w:tooltip="1. Установить денежную выплату гражданам Российской Федерации, иностранным гражданам (далее - граждане):" w:anchor="P12" w:history="1">
        <w:r>
          <w:rPr>
            <w:color w:val="0000ff"/>
            <w:sz w:val="20"/>
          </w:rPr>
          <w:t xml:space="preserve">пункте 1</w:t>
        </w:r>
      </w:hyperlink>
      <w:r>
        <w:rPr>
          <w:sz w:val="20"/>
        </w:rPr>
        <w:t xml:space="preserve"> настоящего постановления, осуществляется за счет средств областного бюджета.</w:t>
      </w:r>
      <w:r/>
    </w:p>
    <w:p>
      <w:pPr>
        <w:pStyle w:val="832"/>
        <w:ind w:firstLine="540"/>
        <w:jc w:val="both"/>
        <w:spacing w:before="200"/>
      </w:pPr>
      <w:r>
        <w:rPr>
          <w:sz w:val="20"/>
        </w:rPr>
        <w:t xml:space="preserve">5. Департаменту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w:t>
      </w:r>
      <w:r/>
    </w:p>
    <w:p>
      <w:pPr>
        <w:pStyle w:val="832"/>
        <w:ind w:firstLine="540"/>
        <w:jc w:val="both"/>
        <w:spacing w:before="200"/>
      </w:pPr>
      <w:r>
        <w:rPr>
          <w:sz w:val="20"/>
        </w:rPr>
        <w:t xml:space="preserve">6. Настоящее постановление вступает в силу со дня его официального опубликования, распространяется на правоотношения, возникшие с 1 января 2026 года, и действует до 31 декабря 2026 года.</w:t>
      </w:r>
      <w:r/>
    </w:p>
    <w:p>
      <w:pPr>
        <w:pStyle w:val="832"/>
        <w:jc w:val="both"/>
      </w:pPr>
      <w:r>
        <w:rPr>
          <w:sz w:val="20"/>
        </w:rPr>
      </w:r>
      <w:r/>
    </w:p>
    <w:p>
      <w:pPr>
        <w:pStyle w:val="832"/>
        <w:jc w:val="right"/>
      </w:pPr>
      <w:r>
        <w:rPr>
          <w:sz w:val="20"/>
        </w:rPr>
        <w:t xml:space="preserve">Губернатор</w:t>
      </w:r>
      <w:r/>
    </w:p>
    <w:p>
      <w:pPr>
        <w:pStyle w:val="832"/>
        <w:jc w:val="right"/>
      </w:pPr>
      <w:r>
        <w:rPr>
          <w:sz w:val="20"/>
        </w:rPr>
        <w:t xml:space="preserve">Томской области</w:t>
      </w:r>
      <w:r/>
    </w:p>
    <w:p>
      <w:pPr>
        <w:pStyle w:val="832"/>
        <w:jc w:val="right"/>
      </w:pPr>
      <w:r>
        <w:rPr>
          <w:sz w:val="20"/>
        </w:rPr>
        <w:t xml:space="preserve">В.В.МАЗУР</w:t>
      </w:r>
      <w:r/>
    </w:p>
    <w:p>
      <w:pPr>
        <w:pStyle w:val="832"/>
        <w:jc w:val="both"/>
      </w:pPr>
      <w:r>
        <w:rPr>
          <w:sz w:val="20"/>
        </w:rPr>
      </w:r>
      <w:r/>
    </w:p>
    <w:p>
      <w:pPr>
        <w:pStyle w:val="832"/>
        <w:jc w:val="both"/>
      </w:pPr>
      <w:r>
        <w:rPr>
          <w:sz w:val="20"/>
        </w:rPr>
      </w:r>
      <w:r/>
    </w:p>
    <w:p>
      <w:pPr>
        <w:pStyle w:val="832"/>
        <w:jc w:val="both"/>
        <w:spacing w:before="100" w:after="100"/>
        <w:rPr>
          <w:sz w:val="2"/>
          <w:szCs w:val="2"/>
        </w:rPr>
        <w:pBdr>
          <w:bottom w:val="single" w:color="000000" w:sz="6" w:space="0"/>
        </w:pBdr>
      </w:pPr>
      <w:r>
        <w:rPr>
          <w:sz w:val="2"/>
          <w:szCs w:val="2"/>
        </w:rPr>
      </w:r>
      <w:r>
        <w:rPr>
          <w:sz w:val="2"/>
          <w:szCs w:val="2"/>
        </w:rPr>
      </w:r>
    </w:p>
    <w:sectPr>
      <w:footnotePr/>
      <w:endnotePr/>
      <w:type w:val="nextPage"/>
      <w:pgSz w:w="11906" w:h="16838" w:orient="portrait"/>
      <w:pgMar w:top="1440" w:right="566" w:bottom="1440" w:left="1133" w:header="0" w:footer="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Arial">
    <w:panose1 w:val="020B0604020202020204"/>
  </w:font>
  <w:font w:name="Liberation Sans">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Normal"/>
    <w:qFormat/>
  </w:style>
  <w:style w:type="paragraph" w:styleId="14">
    <w:name w:val="Heading 1"/>
    <w:basedOn w:val="11"/>
    <w:next w:val="11"/>
    <w:link w:val="15"/>
    <w:uiPriority w:val="9"/>
    <w:qFormat/>
    <w:pPr>
      <w:keepLines/>
      <w:keepNext/>
      <w:spacing w:before="480" w:after="200"/>
      <w:outlineLvl w:val="0"/>
    </w:pPr>
    <w:rPr>
      <w:rFonts w:ascii="Liberation Sans" w:hAnsi="Liberation Sans" w:eastAsia="Liberation Sans" w:cs="Liberation Sans"/>
      <w:sz w:val="40"/>
      <w:szCs w:val="40"/>
    </w:rPr>
  </w:style>
  <w:style w:type="character" w:styleId="15">
    <w:name w:val="Heading 1 Char"/>
    <w:basedOn w:val="12"/>
    <w:link w:val="14"/>
    <w:uiPriority w:val="9"/>
    <w:rPr>
      <w:rFonts w:ascii="Liberation Sans" w:hAnsi="Liberation Sans" w:eastAsia="Liberation Sans" w:cs="Liberation Sans"/>
      <w:sz w:val="40"/>
      <w:szCs w:val="40"/>
    </w:rPr>
  </w:style>
  <w:style w:type="paragraph" w:styleId="16">
    <w:name w:val="Heading 2"/>
    <w:basedOn w:val="11"/>
    <w:next w:val="11"/>
    <w:link w:val="17"/>
    <w:uiPriority w:val="9"/>
    <w:unhideWhenUsed/>
    <w:qFormat/>
    <w:pPr>
      <w:keepLines/>
      <w:keepNext/>
      <w:spacing w:before="360" w:after="200"/>
      <w:outlineLvl w:val="1"/>
    </w:pPr>
    <w:rPr>
      <w:rFonts w:ascii="Liberation Sans" w:hAnsi="Liberation Sans" w:eastAsia="Liberation Sans" w:cs="Liberation Sans"/>
      <w:sz w:val="34"/>
    </w:rPr>
  </w:style>
  <w:style w:type="character" w:styleId="17">
    <w:name w:val="Heading 2 Char"/>
    <w:basedOn w:val="12"/>
    <w:link w:val="16"/>
    <w:uiPriority w:val="9"/>
    <w:rPr>
      <w:rFonts w:ascii="Liberation Sans" w:hAnsi="Liberation Sans" w:eastAsia="Liberation Sans" w:cs="Liberation Sans"/>
      <w:sz w:val="34"/>
    </w:rPr>
  </w:style>
  <w:style w:type="paragraph" w:styleId="18">
    <w:name w:val="Heading 3"/>
    <w:basedOn w:val="11"/>
    <w:next w:val="11"/>
    <w:link w:val="19"/>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19">
    <w:name w:val="Heading 3 Char"/>
    <w:basedOn w:val="12"/>
    <w:link w:val="18"/>
    <w:uiPriority w:val="9"/>
    <w:rPr>
      <w:rFonts w:ascii="Liberation Sans" w:hAnsi="Liberation Sans" w:eastAsia="Liberation Sans" w:cs="Liberation Sans"/>
      <w:sz w:val="30"/>
      <w:szCs w:val="30"/>
    </w:rPr>
  </w:style>
  <w:style w:type="paragraph" w:styleId="20">
    <w:name w:val="Heading 4"/>
    <w:basedOn w:val="11"/>
    <w:next w:val="11"/>
    <w:link w:val="21"/>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21">
    <w:name w:val="Heading 4 Char"/>
    <w:basedOn w:val="12"/>
    <w:link w:val="20"/>
    <w:uiPriority w:val="9"/>
    <w:rPr>
      <w:rFonts w:ascii="Liberation Sans" w:hAnsi="Liberation Sans" w:eastAsia="Liberation Sans" w:cs="Liberation Sans"/>
      <w:b/>
      <w:bCs/>
      <w:sz w:val="26"/>
      <w:szCs w:val="26"/>
    </w:rPr>
  </w:style>
  <w:style w:type="paragraph" w:styleId="22">
    <w:name w:val="Heading 5"/>
    <w:basedOn w:val="11"/>
    <w:next w:val="11"/>
    <w:link w:val="23"/>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23">
    <w:name w:val="Heading 5 Char"/>
    <w:basedOn w:val="12"/>
    <w:link w:val="22"/>
    <w:uiPriority w:val="9"/>
    <w:rPr>
      <w:rFonts w:ascii="Liberation Sans" w:hAnsi="Liberation Sans" w:eastAsia="Liberation Sans" w:cs="Liberation Sans"/>
      <w:b/>
      <w:bCs/>
      <w:sz w:val="24"/>
      <w:szCs w:val="24"/>
    </w:rPr>
  </w:style>
  <w:style w:type="paragraph" w:styleId="24">
    <w:name w:val="Heading 6"/>
    <w:basedOn w:val="11"/>
    <w:next w:val="11"/>
    <w:link w:val="25"/>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25">
    <w:name w:val="Heading 6 Char"/>
    <w:basedOn w:val="12"/>
    <w:link w:val="24"/>
    <w:uiPriority w:val="9"/>
    <w:rPr>
      <w:rFonts w:ascii="Liberation Sans" w:hAnsi="Liberation Sans" w:eastAsia="Liberation Sans" w:cs="Liberation Sans"/>
      <w:b/>
      <w:bCs/>
      <w:sz w:val="22"/>
      <w:szCs w:val="22"/>
    </w:rPr>
  </w:style>
  <w:style w:type="paragraph" w:styleId="26">
    <w:name w:val="Heading 7"/>
    <w:basedOn w:val="11"/>
    <w:next w:val="11"/>
    <w:link w:val="27"/>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27">
    <w:name w:val="Heading 7 Char"/>
    <w:basedOn w:val="12"/>
    <w:link w:val="26"/>
    <w:uiPriority w:val="9"/>
    <w:rPr>
      <w:rFonts w:ascii="Liberation Sans" w:hAnsi="Liberation Sans" w:eastAsia="Liberation Sans" w:cs="Liberation Sans"/>
      <w:b/>
      <w:bCs/>
      <w:i/>
      <w:iCs/>
      <w:sz w:val="22"/>
      <w:szCs w:val="22"/>
    </w:rPr>
  </w:style>
  <w:style w:type="paragraph" w:styleId="28">
    <w:name w:val="Heading 8"/>
    <w:basedOn w:val="11"/>
    <w:next w:val="11"/>
    <w:link w:val="29"/>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29">
    <w:name w:val="Heading 8 Char"/>
    <w:basedOn w:val="12"/>
    <w:link w:val="28"/>
    <w:uiPriority w:val="9"/>
    <w:rPr>
      <w:rFonts w:ascii="Liberation Sans" w:hAnsi="Liberation Sans" w:eastAsia="Liberation Sans" w:cs="Liberation Sans"/>
      <w:i/>
      <w:iCs/>
      <w:sz w:val="22"/>
      <w:szCs w:val="22"/>
    </w:rPr>
  </w:style>
  <w:style w:type="paragraph" w:styleId="30">
    <w:name w:val="Heading 9"/>
    <w:basedOn w:val="11"/>
    <w:next w:val="11"/>
    <w:link w:val="31"/>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31">
    <w:name w:val="Heading 9 Char"/>
    <w:basedOn w:val="12"/>
    <w:link w:val="30"/>
    <w:uiPriority w:val="9"/>
    <w:rPr>
      <w:rFonts w:ascii="Liberation Sans" w:hAnsi="Liberation Sans" w:eastAsia="Liberation Sans" w:cs="Liberation Sans"/>
      <w:i/>
      <w:iCs/>
      <w:sz w:val="21"/>
      <w:szCs w:val="21"/>
    </w:rPr>
  </w:style>
  <w:style w:type="paragraph" w:styleId="32">
    <w:name w:val="List Paragraph"/>
    <w:basedOn w:val="11"/>
    <w:uiPriority w:val="34"/>
    <w:qFormat/>
    <w:pPr>
      <w:contextualSpacing/>
      <w:ind w:left="720"/>
    </w:pPr>
  </w:style>
  <w:style w:type="paragraph" w:styleId="34">
    <w:name w:val="No Spacing"/>
    <w:uiPriority w:val="1"/>
    <w:qFormat/>
    <w:pPr>
      <w:spacing w:before="0" w:after="0" w:line="240" w:lineRule="auto"/>
    </w:pPr>
  </w:style>
  <w:style w:type="paragraph" w:styleId="35">
    <w:name w:val="Title"/>
    <w:basedOn w:val="11"/>
    <w:next w:val="11"/>
    <w:link w:val="36"/>
    <w:uiPriority w:val="10"/>
    <w:qFormat/>
    <w:pPr>
      <w:contextualSpacing/>
      <w:spacing w:before="300" w:after="200"/>
    </w:pPr>
    <w:rPr>
      <w:sz w:val="48"/>
      <w:szCs w:val="48"/>
    </w:rPr>
  </w:style>
  <w:style w:type="character" w:styleId="36">
    <w:name w:val="Title Char"/>
    <w:basedOn w:val="12"/>
    <w:link w:val="35"/>
    <w:uiPriority w:val="10"/>
    <w:rPr>
      <w:sz w:val="48"/>
      <w:szCs w:val="48"/>
    </w:rPr>
  </w:style>
  <w:style w:type="paragraph" w:styleId="37">
    <w:name w:val="Subtitle"/>
    <w:basedOn w:val="11"/>
    <w:next w:val="11"/>
    <w:link w:val="38"/>
    <w:uiPriority w:val="11"/>
    <w:qFormat/>
    <w:pPr>
      <w:spacing w:before="200" w:after="200"/>
    </w:pPr>
    <w:rPr>
      <w:sz w:val="24"/>
      <w:szCs w:val="24"/>
    </w:rPr>
  </w:style>
  <w:style w:type="character" w:styleId="38">
    <w:name w:val="Subtitle Char"/>
    <w:basedOn w:val="12"/>
    <w:link w:val="37"/>
    <w:uiPriority w:val="11"/>
    <w:rPr>
      <w:sz w:val="24"/>
      <w:szCs w:val="24"/>
    </w:rPr>
  </w:style>
  <w:style w:type="paragraph" w:styleId="39">
    <w:name w:val="Quote"/>
    <w:basedOn w:val="11"/>
    <w:next w:val="11"/>
    <w:link w:val="40"/>
    <w:uiPriority w:val="29"/>
    <w:qFormat/>
    <w:pPr>
      <w:ind w:left="720" w:right="720"/>
    </w:pPr>
    <w:rPr>
      <w:i/>
    </w:rPr>
  </w:style>
  <w:style w:type="character" w:styleId="40">
    <w:name w:val="Quote Char"/>
    <w:link w:val="39"/>
    <w:uiPriority w:val="29"/>
    <w:rPr>
      <w:i/>
    </w:rPr>
  </w:style>
  <w:style w:type="paragraph" w:styleId="41">
    <w:name w:val="Intense Quote"/>
    <w:basedOn w:val="11"/>
    <w:next w:val="11"/>
    <w:link w:val="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Intense Quote Char"/>
    <w:link w:val="41"/>
    <w:uiPriority w:val="30"/>
    <w:rPr>
      <w:i/>
    </w:rPr>
  </w:style>
  <w:style w:type="paragraph" w:styleId="43">
    <w:name w:val="Header"/>
    <w:basedOn w:val="11"/>
    <w:link w:val="44"/>
    <w:uiPriority w:val="99"/>
    <w:unhideWhenUsed/>
    <w:pPr>
      <w:spacing w:after="0" w:line="240" w:lineRule="auto"/>
      <w:tabs>
        <w:tab w:val="center" w:pos="7143" w:leader="none"/>
        <w:tab w:val="right" w:pos="14287" w:leader="none"/>
      </w:tabs>
    </w:pPr>
  </w:style>
  <w:style w:type="character" w:styleId="44">
    <w:name w:val="Header Char"/>
    <w:basedOn w:val="12"/>
    <w:link w:val="43"/>
    <w:uiPriority w:val="99"/>
  </w:style>
  <w:style w:type="paragraph" w:styleId="45">
    <w:name w:val="Footer"/>
    <w:basedOn w:val="11"/>
    <w:link w:val="46"/>
    <w:uiPriority w:val="99"/>
    <w:unhideWhenUsed/>
    <w:pPr>
      <w:spacing w:after="0" w:line="240" w:lineRule="auto"/>
      <w:tabs>
        <w:tab w:val="center" w:pos="7143" w:leader="none"/>
        <w:tab w:val="right" w:pos="14287" w:leader="none"/>
      </w:tabs>
    </w:pPr>
  </w:style>
  <w:style w:type="character" w:styleId="46">
    <w:name w:val="Footer Char"/>
    <w:basedOn w:val="12"/>
    <w:link w:val="45"/>
    <w:uiPriority w:val="99"/>
  </w:style>
  <w:style w:type="paragraph" w:styleId="47">
    <w:name w:val="Caption"/>
    <w:basedOn w:val="11"/>
    <w:next w:val="11"/>
    <w:link w:val="48"/>
    <w:uiPriority w:val="35"/>
    <w:semiHidden/>
    <w:unhideWhenUsed/>
    <w:qFormat/>
    <w:pPr>
      <w:spacing w:line="276" w:lineRule="auto"/>
    </w:pPr>
    <w:rPr>
      <w:b/>
      <w:bCs/>
      <w:color w:val="4f81bd" w:themeColor="accent1"/>
      <w:sz w:val="18"/>
      <w:szCs w:val="18"/>
    </w:rPr>
  </w:style>
  <w:style w:type="character" w:styleId="48">
    <w:name w:val="Caption Char"/>
    <w:basedOn w:val="12"/>
    <w:link w:val="47"/>
    <w:uiPriority w:val="35"/>
    <w:rPr>
      <w:b/>
      <w:bCs/>
      <w:color w:val="4f81bd" w:themeColor="accent1"/>
      <w:sz w:val="18"/>
      <w:szCs w:val="18"/>
    </w:rPr>
  </w:style>
  <w:style w:type="table" w:styleId="49">
    <w:name w:val="Table Grid"/>
    <w:basedOn w:val="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50">
    <w:name w:val="Table Grid Light"/>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1">
    <w:name w:val="Plain Table 1"/>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2">
    <w:name w:val="Plain Table 2"/>
    <w:basedOn w:val="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3">
    <w:name w:val="Plain Table 3"/>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4">
    <w:name w:val="Plain Table 4"/>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5">
    <w:name w:val="Plain Table 5"/>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6">
    <w:name w:val="Grid Table 1 Light"/>
    <w:basedOn w:val="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7">
    <w:name w:val="Grid Table 1 Light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8">
    <w:name w:val="Grid Table 1 Light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9">
    <w:name w:val="Grid Table 1 Light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0">
    <w:name w:val="Grid Table 1 Light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1">
    <w:name w:val="Grid Table 1 Light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2">
    <w:name w:val="Grid Table 1 Light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3">
    <w:name w:val="Grid Table 2"/>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
    <w:name w:val="Grid Table 2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5">
    <w:name w:val="Grid Table 2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6">
    <w:name w:val="Grid Table 2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
    <w:name w:val="Grid Table 2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
    <w:name w:val="Grid Table 2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
    <w:name w:val="Grid Table 2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
    <w:name w:val="Grid Table 3"/>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3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
    <w:name w:val="Grid Table 4"/>
    <w:basedOn w:val="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
    <w:name w:val="Grid Table 4 - Accent 1"/>
    <w:basedOn w:val="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
    <w:name w:val="Grid Table 4 - Accent 2"/>
    <w:basedOn w:val="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
    <w:name w:val="Grid Table 4 - Accent 3"/>
    <w:basedOn w:val="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
    <w:name w:val="Grid Table 4 - Accent 4"/>
    <w:basedOn w:val="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
    <w:name w:val="Grid Table 4 - Accent 5"/>
    <w:basedOn w:val="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
    <w:name w:val="Grid Table 4 - Accent 6"/>
    <w:basedOn w:val="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
    <w:name w:val="Grid Table 5 Dark"/>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85">
    <w:name w:val="Grid Table 5 Dark- Accent 1"/>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86">
    <w:name w:val="Grid Table 5 Dark - Accent 2"/>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87">
    <w:name w:val="Grid Table 5 Dark - Accent 3"/>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88">
    <w:name w:val="Grid Table 5 Dark- Accent 4"/>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89">
    <w:name w:val="Grid Table 5 Dark - Accent 5"/>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90">
    <w:name w:val="Grid Table 5 Dark - Accent 6"/>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91">
    <w:name w:val="Grid Table 6 Colorful"/>
    <w:basedOn w:val="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92">
    <w:name w:val="Grid Table 6 Colorful - Accent 1"/>
    <w:basedOn w:val="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93">
    <w:name w:val="Grid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94">
    <w:name w:val="Grid Table 6 Colorful - Accent 3"/>
    <w:basedOn w:val="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95">
    <w:name w:val="Grid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96">
    <w:name w:val="Grid Table 6 Colorful - Accent 5"/>
    <w:basedOn w:val="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7">
    <w:name w:val="Grid Table 6 Colorful - Accent 6"/>
    <w:basedOn w:val="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8">
    <w:name w:val="Grid Table 7 Colorful"/>
    <w:basedOn w:val="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9">
    <w:name w:val="Grid Table 7 Colorful - Accent 1"/>
    <w:basedOn w:val="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Liberation Sans" w:hAnsi="Liberation Sans"/>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100">
    <w:name w:val="Grid Table 7 Colorful - Accent 2"/>
    <w:basedOn w:val="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1">
    <w:name w:val="Grid Table 7 Colorful - Accent 3"/>
    <w:basedOn w:val="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Liberation Sans" w:hAnsi="Liberation Sans"/>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2">
    <w:name w:val="Grid Table 7 Colorful - Accent 4"/>
    <w:basedOn w:val="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3">
    <w:name w:val="Grid Table 7 Colorful - Accent 5"/>
    <w:basedOn w:val="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Liberation Sans" w:hAnsi="Liberation Sans"/>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4">
    <w:name w:val="Grid Table 7 Colorful - Accent 6"/>
    <w:basedOn w:val="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Liberation Sans" w:hAnsi="Liberation Sans"/>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5">
    <w:name w:val="List Table 1 Light"/>
    <w:basedOn w:val="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
    <w:name w:val="List Table 1 Light - Accent 1"/>
    <w:basedOn w:val="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
    <w:name w:val="List Table 1 Light - Accent 2"/>
    <w:basedOn w:val="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
    <w:name w:val="List Table 1 Light - Accent 3"/>
    <w:basedOn w:val="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
    <w:name w:val="List Table 1 Light - Accent 4"/>
    <w:basedOn w:val="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
    <w:name w:val="List Table 1 Light - Accent 5"/>
    <w:basedOn w:val="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
    <w:name w:val="List Table 1 Light - Accent 6"/>
    <w:basedOn w:val="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
    <w:name w:val="List Table 2"/>
    <w:basedOn w:val="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
    <w:name w:val="List Table 2 - Accent 1"/>
    <w:basedOn w:val="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
    <w:name w:val="List Table 2 - Accent 2"/>
    <w:basedOn w:val="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
    <w:name w:val="List Table 2 - Accent 3"/>
    <w:basedOn w:val="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
    <w:name w:val="List Table 2 - Accent 4"/>
    <w:basedOn w:val="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
    <w:name w:val="List Table 2 - Accent 5"/>
    <w:basedOn w:val="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
    <w:name w:val="List Table 2 - Accent 6"/>
    <w:basedOn w:val="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9">
    <w:name w:val="List Table 3"/>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
    <w:name w:val="List Table 3 - Accent 1"/>
    <w:basedOn w:val="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
    <w:name w:val="List Table 3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
    <w:name w:val="List Table 3 - Accent 3"/>
    <w:basedOn w:val="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3">
    <w:name w:val="List Table 3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
    <w:name w:val="List Table 3 - Accent 5"/>
    <w:basedOn w:val="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
    <w:name w:val="List Table 3 - Accent 6"/>
    <w:basedOn w:val="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
    <w:name w:val="List Table 4"/>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
    <w:name w:val="List Table 4 - Accent 1"/>
    <w:basedOn w:val="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
    <w:name w:val="List Table 4 - Accent 2"/>
    <w:basedOn w:val="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
    <w:name w:val="List Table 4 - Accent 3"/>
    <w:basedOn w:val="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
    <w:name w:val="List Table 4 - Accent 4"/>
    <w:basedOn w:val="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1">
    <w:name w:val="List Table 4 - Accent 5"/>
    <w:basedOn w:val="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
    <w:name w:val="List Table 4 - Accent 6"/>
    <w:basedOn w:val="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
    <w:name w:val="List Table 5 Dark"/>
    <w:basedOn w:val="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4">
    <w:name w:val="List Table 5 Dark - Accent 1"/>
    <w:basedOn w:val="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5">
    <w:name w:val="List Table 5 Dark - Accent 2"/>
    <w:basedOn w:val="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6">
    <w:name w:val="List Table 5 Dark - Accent 3"/>
    <w:basedOn w:val="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7">
    <w:name w:val="List Table 5 Dark - Accent 4"/>
    <w:basedOn w:val="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8">
    <w:name w:val="List Table 5 Dark - Accent 5"/>
    <w:basedOn w:val="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9">
    <w:name w:val="List Table 5 Dark - Accent 6"/>
    <w:basedOn w:val="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40">
    <w:name w:val="List Table 6 Colorful"/>
    <w:basedOn w:val="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1">
    <w:name w:val="List Table 6 Colorful - Accent 1"/>
    <w:basedOn w:val="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
    <w:name w:val="List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
    <w:name w:val="List Table 6 Colorful - Accent 3"/>
    <w:basedOn w:val="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
    <w:name w:val="List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
    <w:name w:val="List Table 6 Colorful - Accent 5"/>
    <w:basedOn w:val="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
    <w:name w:val="List Table 6 Colorful - Accent 6"/>
    <w:basedOn w:val="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7">
    <w:name w:val="List Table 7 Colorful"/>
    <w:basedOn w:val="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Liberation Sans" w:hAnsi="Liberation Sans"/>
        <w:color w:val="4a4a4a" w:themeColor="text1" w:themeTint="80" w:themeShade="95"/>
        <w:sz w:val="22"/>
      </w:rPr>
    </w:tblStylePr>
  </w:style>
  <w:style w:type="table" w:styleId="148">
    <w:name w:val="List Table 7 Colorful - Accent 1"/>
    <w:basedOn w:val="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Liberation Sans" w:hAnsi="Liberation Sans"/>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Liberation Sans" w:hAnsi="Liberation Sans"/>
        <w:color w:val="2a4b71" w:themeColor="accent1" w:themeShade="95"/>
        <w:sz w:val="22"/>
      </w:rPr>
    </w:tblStylePr>
  </w:style>
  <w:style w:type="table" w:styleId="149">
    <w:name w:val="List Table 7 Colorful - Accent 2"/>
    <w:basedOn w:val="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Liberation Sans" w:hAnsi="Liberation Sans"/>
        <w:color w:val="9c3a37" w:themeColor="accent2" w:themeTint="97" w:themeShade="95"/>
        <w:sz w:val="22"/>
      </w:rPr>
    </w:tblStylePr>
  </w:style>
  <w:style w:type="table" w:styleId="150">
    <w:name w:val="List Table 7 Colorful - Accent 3"/>
    <w:basedOn w:val="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Liberation Sans" w:hAnsi="Liberation Sans"/>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Liberation Sans" w:hAnsi="Liberation Sans"/>
        <w:color w:val="7c983f" w:themeColor="accent3" w:themeTint="98" w:themeShade="95"/>
        <w:sz w:val="22"/>
      </w:rPr>
    </w:tblStylePr>
  </w:style>
  <w:style w:type="table" w:styleId="151">
    <w:name w:val="List Table 7 Colorful - Accent 4"/>
    <w:basedOn w:val="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Liberation Sans" w:hAnsi="Liberation Sans"/>
        <w:color w:val="664f82" w:themeColor="accent4" w:themeTint="9A" w:themeShade="95"/>
        <w:sz w:val="22"/>
      </w:rPr>
    </w:tblStylePr>
  </w:style>
  <w:style w:type="table" w:styleId="152">
    <w:name w:val="List Table 7 Colorful - Accent 5"/>
    <w:basedOn w:val="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Liberation Sans" w:hAnsi="Liberation Sans"/>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Liberation Sans" w:hAnsi="Liberation Sans"/>
        <w:color w:val="338aa0" w:themeColor="accent5" w:themeTint="9A" w:themeShade="95"/>
        <w:sz w:val="22"/>
      </w:rPr>
    </w:tblStylePr>
  </w:style>
  <w:style w:type="table" w:styleId="153">
    <w:name w:val="List Table 7 Colorful - Accent 6"/>
    <w:basedOn w:val="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Liberation Sans" w:hAnsi="Liberation Sans"/>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Liberation Sans" w:hAnsi="Liberation Sans"/>
        <w:color w:val="d9680c" w:themeColor="accent6" w:themeTint="98" w:themeShade="95"/>
        <w:sz w:val="22"/>
      </w:rPr>
    </w:tblStylePr>
  </w:style>
  <w:style w:type="table" w:styleId="154">
    <w:name w:val="Lined - Accent"/>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55">
    <w:name w:val="Lined - Accent 1"/>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56">
    <w:name w:val="Lined - Accent 2"/>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57">
    <w:name w:val="Lined - Accent 3"/>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58">
    <w:name w:val="Lined - Accent 4"/>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59">
    <w:name w:val="Lined - Accent 5"/>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0">
    <w:name w:val="Lined - Accent 6"/>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1">
    <w:name w:val="Bordered &amp; Lined - Accent"/>
    <w:basedOn w:val="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62">
    <w:name w:val="Bordered &amp; Lined - Accent 1"/>
    <w:basedOn w:val="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63">
    <w:name w:val="Bordered &amp; Lined - Accent 2"/>
    <w:basedOn w:val="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64">
    <w:name w:val="Bordered &amp; Lined - Accent 3"/>
    <w:basedOn w:val="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65">
    <w:name w:val="Bordered &amp; Lined - Accent 4"/>
    <w:basedOn w:val="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66">
    <w:name w:val="Bordered &amp; Lined - Accent 5"/>
    <w:basedOn w:val="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7">
    <w:name w:val="Bordered &amp; Lined - Accent 6"/>
    <w:basedOn w:val="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8">
    <w:name w:val="Bordered"/>
    <w:basedOn w:val="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169">
    <w:name w:val="Bordered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170">
    <w:name w:val="Bordered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171">
    <w:name w:val="Bordered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172">
    <w:name w:val="Bordered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173">
    <w:name w:val="Bordered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174">
    <w:name w:val="Bordered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175">
    <w:name w:val="Hyperlink"/>
    <w:uiPriority w:val="99"/>
    <w:unhideWhenUsed/>
    <w:rPr>
      <w:color w:val="0000ff" w:themeColor="hyperlink"/>
      <w:u w:val="single"/>
    </w:rPr>
  </w:style>
  <w:style w:type="paragraph" w:styleId="176">
    <w:name w:val="footnote text"/>
    <w:basedOn w:val="11"/>
    <w:link w:val="177"/>
    <w:uiPriority w:val="99"/>
    <w:semiHidden/>
    <w:unhideWhenUsed/>
    <w:pPr>
      <w:spacing w:after="40" w:line="240" w:lineRule="auto"/>
    </w:pPr>
    <w:rPr>
      <w:sz w:val="18"/>
    </w:rPr>
  </w:style>
  <w:style w:type="character" w:styleId="177">
    <w:name w:val="Footnote Text Char"/>
    <w:link w:val="176"/>
    <w:uiPriority w:val="99"/>
    <w:rPr>
      <w:sz w:val="18"/>
    </w:rPr>
  </w:style>
  <w:style w:type="character" w:styleId="178">
    <w:name w:val="footnote reference"/>
    <w:basedOn w:val="12"/>
    <w:uiPriority w:val="99"/>
    <w:unhideWhenUsed/>
    <w:rPr>
      <w:vertAlign w:val="superscript"/>
    </w:rPr>
  </w:style>
  <w:style w:type="paragraph" w:styleId="179">
    <w:name w:val="endnote text"/>
    <w:basedOn w:val="11"/>
    <w:link w:val="180"/>
    <w:uiPriority w:val="99"/>
    <w:semiHidden/>
    <w:unhideWhenUsed/>
    <w:pPr>
      <w:spacing w:after="0" w:line="240" w:lineRule="auto"/>
    </w:pPr>
    <w:rPr>
      <w:sz w:val="20"/>
    </w:rPr>
  </w:style>
  <w:style w:type="character" w:styleId="180">
    <w:name w:val="Endnote Text Char"/>
    <w:link w:val="179"/>
    <w:uiPriority w:val="99"/>
    <w:rPr>
      <w:sz w:val="20"/>
    </w:rPr>
  </w:style>
  <w:style w:type="character" w:styleId="181">
    <w:name w:val="endnote reference"/>
    <w:basedOn w:val="12"/>
    <w:uiPriority w:val="99"/>
    <w:semiHidden/>
    <w:unhideWhenUsed/>
    <w:rPr>
      <w:vertAlign w:val="superscript"/>
    </w:rPr>
  </w:style>
  <w:style w:type="paragraph" w:styleId="182">
    <w:name w:val="toc 1"/>
    <w:basedOn w:val="11"/>
    <w:next w:val="11"/>
    <w:uiPriority w:val="39"/>
    <w:unhideWhenUsed/>
    <w:pPr>
      <w:ind w:left="0" w:right="0" w:firstLine="0"/>
      <w:spacing w:after="57"/>
    </w:pPr>
  </w:style>
  <w:style w:type="paragraph" w:styleId="183">
    <w:name w:val="toc 2"/>
    <w:basedOn w:val="11"/>
    <w:next w:val="11"/>
    <w:uiPriority w:val="39"/>
    <w:unhideWhenUsed/>
    <w:pPr>
      <w:ind w:left="283" w:right="0" w:firstLine="0"/>
      <w:spacing w:after="57"/>
    </w:pPr>
  </w:style>
  <w:style w:type="paragraph" w:styleId="184">
    <w:name w:val="toc 3"/>
    <w:basedOn w:val="11"/>
    <w:next w:val="11"/>
    <w:uiPriority w:val="39"/>
    <w:unhideWhenUsed/>
    <w:pPr>
      <w:ind w:left="567" w:right="0" w:firstLine="0"/>
      <w:spacing w:after="57"/>
    </w:pPr>
  </w:style>
  <w:style w:type="paragraph" w:styleId="185">
    <w:name w:val="toc 4"/>
    <w:basedOn w:val="11"/>
    <w:next w:val="11"/>
    <w:uiPriority w:val="39"/>
    <w:unhideWhenUsed/>
    <w:pPr>
      <w:ind w:left="850" w:right="0" w:firstLine="0"/>
      <w:spacing w:after="57"/>
    </w:pPr>
  </w:style>
  <w:style w:type="paragraph" w:styleId="186">
    <w:name w:val="toc 5"/>
    <w:basedOn w:val="11"/>
    <w:next w:val="11"/>
    <w:uiPriority w:val="39"/>
    <w:unhideWhenUsed/>
    <w:pPr>
      <w:ind w:left="1134" w:right="0" w:firstLine="0"/>
      <w:spacing w:after="57"/>
    </w:pPr>
  </w:style>
  <w:style w:type="paragraph" w:styleId="187">
    <w:name w:val="toc 6"/>
    <w:basedOn w:val="11"/>
    <w:next w:val="11"/>
    <w:uiPriority w:val="39"/>
    <w:unhideWhenUsed/>
    <w:pPr>
      <w:ind w:left="1417" w:right="0" w:firstLine="0"/>
      <w:spacing w:after="57"/>
    </w:pPr>
  </w:style>
  <w:style w:type="paragraph" w:styleId="188">
    <w:name w:val="toc 7"/>
    <w:basedOn w:val="11"/>
    <w:next w:val="11"/>
    <w:uiPriority w:val="39"/>
    <w:unhideWhenUsed/>
    <w:pPr>
      <w:ind w:left="1701" w:right="0" w:firstLine="0"/>
      <w:spacing w:after="57"/>
    </w:pPr>
  </w:style>
  <w:style w:type="paragraph" w:styleId="189">
    <w:name w:val="toc 8"/>
    <w:basedOn w:val="11"/>
    <w:next w:val="11"/>
    <w:uiPriority w:val="39"/>
    <w:unhideWhenUsed/>
    <w:pPr>
      <w:ind w:left="1984" w:right="0" w:firstLine="0"/>
      <w:spacing w:after="57"/>
    </w:pPr>
  </w:style>
  <w:style w:type="paragraph" w:styleId="190">
    <w:name w:val="toc 9"/>
    <w:basedOn w:val="11"/>
    <w:next w:val="11"/>
    <w:uiPriority w:val="39"/>
    <w:unhideWhenUsed/>
    <w:pPr>
      <w:ind w:left="2268" w:right="0" w:firstLine="0"/>
      <w:spacing w:after="57"/>
    </w:pPr>
  </w:style>
  <w:style w:type="paragraph" w:styleId="191">
    <w:name w:val="TOC Heading"/>
    <w:uiPriority w:val="39"/>
    <w:unhideWhenUsed/>
  </w:style>
  <w:style w:type="paragraph" w:styleId="192">
    <w:name w:val="table of figures"/>
    <w:basedOn w:val="11"/>
    <w:next w:val="11"/>
    <w:uiPriority w:val="99"/>
    <w:unhideWhenUsed/>
    <w:pPr>
      <w:spacing w:after="0" w:afterAutospacing="0"/>
    </w:pPr>
  </w:style>
  <w:style w:type="paragraph" w:styleId="832" w:default="1" w:customStyle="1">
    <w:name w:val="ConsPlusNormal"/>
    <w:pPr>
      <w:widowControl w:val="off"/>
    </w:pPr>
    <w:rPr>
      <w:rFonts w:ascii="Arial" w:hAnsi="Arial" w:cs="Arial"/>
      <w:sz w:val="20"/>
      <w:lang w:val="ru-RU" w:eastAsia="ru-RU" w:bidi="ar-SA"/>
    </w:rPr>
  </w:style>
  <w:style w:type="paragraph" w:styleId="833" w:customStyle="1">
    <w:name w:val="ConsPlusNonformat"/>
    <w:pPr>
      <w:widowControl w:val="off"/>
    </w:pPr>
    <w:rPr>
      <w:rFonts w:ascii="Courier New" w:hAnsi="Courier New" w:cs="Courier New"/>
      <w:sz w:val="20"/>
      <w:lang w:val="ru-RU" w:eastAsia="ru-RU" w:bidi="ar-SA"/>
    </w:rPr>
  </w:style>
  <w:style w:type="paragraph" w:styleId="834" w:customStyle="1">
    <w:name w:val="ConsPlusTitle"/>
    <w:pPr>
      <w:widowControl w:val="off"/>
    </w:pPr>
    <w:rPr>
      <w:rFonts w:ascii="Arial" w:hAnsi="Arial" w:cs="Arial"/>
      <w:b/>
      <w:sz w:val="20"/>
      <w:lang w:val="ru-RU" w:eastAsia="ru-RU" w:bidi="ar-SA"/>
    </w:rPr>
  </w:style>
  <w:style w:type="paragraph" w:styleId="835" w:customStyle="1">
    <w:name w:val="ConsPlusCell"/>
    <w:pPr>
      <w:widowControl w:val="off"/>
    </w:pPr>
    <w:rPr>
      <w:rFonts w:ascii="Courier New" w:hAnsi="Courier New" w:cs="Courier New"/>
      <w:sz w:val="20"/>
      <w:lang w:val="ru-RU" w:eastAsia="ru-RU" w:bidi="ar-SA"/>
    </w:rPr>
  </w:style>
  <w:style w:type="paragraph" w:styleId="836" w:customStyle="1">
    <w:name w:val="ConsPlusDocList"/>
    <w:pPr>
      <w:widowControl w:val="off"/>
    </w:pPr>
    <w:rPr>
      <w:rFonts w:ascii="Courier New" w:hAnsi="Courier New" w:cs="Courier New"/>
      <w:sz w:val="20"/>
      <w:lang w:val="ru-RU" w:eastAsia="ru-RU" w:bidi="ar-SA"/>
    </w:rPr>
  </w:style>
  <w:style w:type="paragraph" w:styleId="837" w:customStyle="1">
    <w:name w:val="ConsPlusTitlePage"/>
    <w:pPr>
      <w:widowControl w:val="off"/>
    </w:pPr>
    <w:rPr>
      <w:rFonts w:ascii="Tahoma" w:hAnsi="Tahoma" w:cs="Tahoma"/>
      <w:sz w:val="20"/>
      <w:lang w:val="ru-RU" w:eastAsia="ru-RU" w:bidi="ar-SA"/>
    </w:rPr>
  </w:style>
  <w:style w:type="paragraph" w:styleId="838" w:customStyle="1">
    <w:name w:val="ConsPlusJurTerm"/>
    <w:pPr>
      <w:widowControl w:val="off"/>
    </w:pPr>
    <w:rPr>
      <w:rFonts w:ascii="Tahoma" w:hAnsi="Tahoma" w:cs="Tahoma"/>
      <w:sz w:val="26"/>
      <w:lang w:val="ru-RU" w:eastAsia="ru-RU" w:bidi="ar-SA"/>
    </w:rPr>
  </w:style>
  <w:style w:type="paragraph" w:styleId="839" w:customStyle="1">
    <w:name w:val="ConsPlusTextList"/>
    <w:pPr>
      <w:widowControl w:val="off"/>
    </w:pPr>
    <w:rPr>
      <w:rFonts w:ascii="Arial" w:hAnsi="Arial" w:cs="Arial"/>
      <w:sz w:val="20"/>
      <w:lang w:val="ru-RU" w:eastAsia="ru-RU" w:bidi="ar-SA"/>
    </w:rPr>
  </w:style>
  <w:style w:type="paragraph" w:styleId="840" w:customStyle="1">
    <w:name w:val="ConsPlusTextList"/>
    <w:pPr>
      <w:widowControl w:val="off"/>
    </w:pPr>
    <w:rPr>
      <w:rFonts w:ascii="Arial" w:hAnsi="Arial" w:cs="Arial"/>
      <w:sz w:val="20"/>
      <w:lang w:val="ru-RU" w:eastAsia="ru-RU" w:bidi="ar-SA"/>
    </w:rPr>
  </w:style>
  <w:style w:type="character" w:styleId="1160" w:default="1">
    <w:name w:val="Default Paragraph Font"/>
    <w:uiPriority w:val="1"/>
    <w:semiHidden/>
    <w:unhideWhenUsed/>
  </w:style>
  <w:style w:type="numbering" w:styleId="1161" w:default="1">
    <w:name w:val="No List"/>
    <w:uiPriority w:val="99"/>
    <w:semiHidden/>
    <w:unhideWhenUsed/>
  </w:style>
  <w:style w:type="table" w:styleId="1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s://login.consultant.ru/link/?req=doc&amp;base=RLAW091&amp;n=203719&amp;dst=100011" TargetMode="External"/><Relationship Id="rId9" Type="http://schemas.openxmlformats.org/officeDocument/2006/relationships/hyperlink" Target="https://login.consultant.ru/link/?req=doc&amp;base=RLAW091&amp;n=167548" TargetMode="External"/><Relationship Id="rId10" Type="http://schemas.openxmlformats.org/officeDocument/2006/relationships/hyperlink" Target="https://login.consultant.ru/link/?req=doc&amp;base=RZB&amp;n=426999&amp;dst=100019" TargetMode="External"/><Relationship Id="rId11" Type="http://schemas.openxmlformats.org/officeDocument/2006/relationships/hyperlink" Target="https://login.consultant.ru/link/?req=doc&amp;base=RLAW091&amp;n=196172" TargetMode="External"/><Relationship Id="rId12" Type="http://schemas.openxmlformats.org/officeDocument/2006/relationships/hyperlink" Target="https://login.consultant.ru/link/?req=doc&amp;base=RLAW091&amp;n=203719&amp;dst=100012" TargetMode="External"/><Relationship Id="rId13" Type="http://schemas.openxmlformats.org/officeDocument/2006/relationships/hyperlink" Target="https://login.consultant.ru/link/?req=doc&amp;base=RLAW091&amp;n=203719&amp;dst=100015" TargetMode="External"/><Relationship Id="rId14" Type="http://schemas.openxmlformats.org/officeDocument/2006/relationships/hyperlink" Target="https://login.consultant.ru/link/?req=doc&amp;base=RLAW091&amp;n=203719&amp;dst=100015" TargetMode="External"/><Relationship Id="rId15" Type="http://schemas.openxmlformats.org/officeDocument/2006/relationships/hyperlink" Target="https://login.consultant.ru/link/?req=doc&amp;base=RLAW091&amp;n=196172" TargetMode="External"/><Relationship Id="rId16" Type="http://schemas.openxmlformats.org/officeDocument/2006/relationships/hyperlink" Target="https://login.consultant.ru/link/?req=doc&amp;base=RLAW091&amp;n=196172&amp;dst=100079" TargetMode="External"/><Relationship Id="rId17" Type="http://schemas.openxmlformats.org/officeDocument/2006/relationships/hyperlink" Target="https://login.consultant.ru/link/?req=doc&amp;base=RLAW091&amp;n=196172&amp;dst=100056" TargetMode="External"/><Relationship Id="rId18" Type="http://schemas.openxmlformats.org/officeDocument/2006/relationships/hyperlink" Target="https://login.consultant.ru/link/?req=doc&amp;base=RLAW091&amp;n=196172&amp;dst=100068" TargetMode="External"/><Relationship Id="rId19" Type="http://schemas.openxmlformats.org/officeDocument/2006/relationships/hyperlink" Target="https://login.consultant.ru/link/?req=doc&amp;base=RLAW091&amp;n=196172&amp;dst=100080" TargetMode="External"/><Relationship Id="rId20" Type="http://schemas.openxmlformats.org/officeDocument/2006/relationships/hyperlink" Target="https://login.consultant.ru/link/?req=doc&amp;base=RLAW091&amp;n=203719&amp;dst=10001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Р7-Офис/2026.1.2.1942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30.01.2026 N 27а
(ред. от 25.03.2026)
"О мерах социальной поддержки отдельных категорий граждан, участвующих в специальной военной операции"</dc:title>
  <cp:lastModifiedBy>kas</cp:lastModifiedBy>
  <cp:revision>1</cp:revision>
  <dcterms:created xsi:type="dcterms:W3CDTF">2026-04-01T07:20:05Z</dcterms:created>
  <dcterms:modified xsi:type="dcterms:W3CDTF">2026-04-03T08:38:23Z</dcterms:modified>
</cp:coreProperties>
</file>